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EEF3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-420" w:leftChars="-200" w:right="-420" w:rightChars="-200"/>
        <w:jc w:val="center"/>
        <w:textAlignment w:val="auto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宜兴市楼宇经济高质量发展的实施意见（试行）</w:t>
      </w:r>
    </w:p>
    <w:p w14:paraId="5E3440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-420" w:leftChars="-200" w:right="-420" w:rightChars="-20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>（征求意见稿）</w:t>
      </w:r>
    </w:p>
    <w:p w14:paraId="49E2F85E">
      <w:pPr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29856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楼宇经济作为城市发展中的一种新型高质量发展经济形态，呈现出产业集聚与集群发展的特点，是我市产业转型和城市品质提升的重要载体。为进一步提升楼宇经济发展质效，加速现代高端服务业集聚发展，现结合我市实际，就促进楼宇经济高质量发展提出如下意见。</w:t>
      </w:r>
    </w:p>
    <w:p w14:paraId="5994B1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一、指导思想</w:t>
      </w:r>
    </w:p>
    <w:p w14:paraId="004C34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坚持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以习近平新时代中国特色社会主义思想为指导，全面落实习近平总书记对江苏工作重要讲话重要指示精神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，紧紧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围绕宜兴市打造区域中心城市的目标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定位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，牢牢把握高质量发展首要任务，以创新驱动和产业升级为核心，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促进现代服务业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与先进制造业深度融合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，全过程提升楼宇经济的功能品质和产出效益，打造一批区域集中、产业集聚、企业集群、功能集成的高端商务楼宇，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构建具有宜兴特色的楼宇经济发展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新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格局，为推动宜兴市经济社会高质量发展提供有力支撑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 w14:paraId="49413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二、主要目标</w:t>
      </w:r>
    </w:p>
    <w:p w14:paraId="77A8CB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实现“五个一批”目标，即培育建设一批高品质高标准商务楼宇，提升一批产权分散业态散乱的存量楼宇，打造一批亿元以上高产出楼宇，培育一批总部经济、专业服务集聚明显的特色楼宇，引进培育一批招商能力强、管理水平高的金牌楼宇运营商，推动全市楼宇经济发展质效整体跃升。到2028年末，培育星级楼宇20幢以上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；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全市商务楼宇整体入驻率达70%，楼宇内集聚企业超3000家。</w:t>
      </w:r>
    </w:p>
    <w:p w14:paraId="57444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三、重点任务</w:t>
      </w:r>
    </w:p>
    <w:p w14:paraId="0D7AB9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方正楷体_GBK" w:hAnsi="方正楷体_GBK" w:eastAsia="方正楷体_GBK" w:cs="方正楷体_GBK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kern w:val="0"/>
          <w:sz w:val="32"/>
          <w:szCs w:val="32"/>
          <w:highlight w:val="none"/>
          <w:lang w:val="en-US" w:eastAsia="zh-CN"/>
        </w:rPr>
        <w:t>1.提升新建楼宇开发品质。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坚持专业化、高端化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建设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管理理念，以城市共建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共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商思维，鼓励引进全国知名商业地产开发企业开发建设高品质楼宇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，主导楼宇运营管理。支持总部型企业、上市企业、龙头骨干企业独立或联合建设办公楼宇，或采取定向代建、先租后购等方式，参与开发建设高品质楼宇，并统一运营管理。出让土地时，对于商业地产中商务办公部分，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auto"/>
          <w:lang w:val="en-US" w:eastAsia="zh-CN"/>
        </w:rPr>
        <w:t>明确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开发商自持比例原则上不低于50%，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并科学设定销售单位，原则上以整层或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u w:val="none"/>
          <w:lang w:val="en-US" w:eastAsia="zh-CN"/>
        </w:rPr>
        <w:t>不低于1000平方米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作为最小销售单位。</w:t>
      </w:r>
      <w:r>
        <w:rPr>
          <w:rFonts w:hint="eastAsia" w:ascii="方正楷体_GBK" w:hAnsi="方正楷体_GBK" w:eastAsia="方正楷体_GBK" w:cs="方正楷体_GBK"/>
          <w:kern w:val="0"/>
          <w:sz w:val="32"/>
          <w:szCs w:val="32"/>
          <w:highlight w:val="none"/>
          <w:lang w:val="en-US" w:eastAsia="zh-CN"/>
        </w:rPr>
        <w:t>（责任部门：市发展改革委、市自然资源规划局、市住房城乡建设局）</w:t>
      </w:r>
    </w:p>
    <w:p w14:paraId="602901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kern w:val="0"/>
          <w:sz w:val="32"/>
          <w:szCs w:val="32"/>
          <w:highlight w:val="none"/>
          <w:lang w:val="en-US" w:eastAsia="zh-CN"/>
        </w:rPr>
        <w:t>2.引导存量楼宇提质改造。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鼓励开展存量楼宇提质改造工作，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有序推进楼宇智能化、数字化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、绿色化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改造，同步提升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楼宇安全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标准，提高整体物业服务水平。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鼓励楼宇运营主体通过改造扩容、出售转让、功能置换等方式促进存量消化盘活，降低空置率。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支持国有资本、社会资本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多方参与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鼓励楼宇产权方、运营商联合开展存量楼宇改造提升；支持老旧楼宇增设停车场、加装电梯、休闲空间等新设施，使用节能降耗设施设备，搭建创新创业服务平台，提升楼宇硬件水平和产业服务功能。</w:t>
      </w:r>
      <w:r>
        <w:rPr>
          <w:rFonts w:hint="eastAsia" w:ascii="方正楷体_GBK" w:hAnsi="方正楷体_GBK" w:eastAsia="方正楷体_GBK" w:cs="方正楷体_GBK"/>
          <w:kern w:val="0"/>
          <w:sz w:val="32"/>
          <w:szCs w:val="32"/>
          <w:highlight w:val="none"/>
          <w:lang w:val="en-US" w:eastAsia="zh-CN"/>
        </w:rPr>
        <w:t>（责任部门：市发展改革委、市财政局、市自然资源规划局、市住房城乡建设局、市城管局、市市场监管局）</w:t>
      </w:r>
    </w:p>
    <w:p w14:paraId="4F804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方正楷体_GBK" w:hAnsi="方正楷体_GBK" w:eastAsia="方正楷体_GBK" w:cs="方正楷体_GBK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kern w:val="0"/>
          <w:sz w:val="32"/>
          <w:szCs w:val="32"/>
          <w:highlight w:val="none"/>
          <w:lang w:val="en-US" w:eastAsia="zh-CN"/>
        </w:rPr>
        <w:t>3.提升整体统一运营能力。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积极推动楼宇整体持有并统一运营，实施整体集中管理。引导各类运营主体整合购买，或整合租赁楼宇，开展统一运营；要加大力度招引一批国际、国内知名楼宇运营主体，提升楼宇专业化运营水平；鼓励通过信贷资产支持证券（ABS）、商业房地产抵押贷款支持证券（CMBS）等金融创新工具，推动楼宇资产证券化，提升楼宇自持自营比例。</w:t>
      </w:r>
      <w:r>
        <w:rPr>
          <w:rFonts w:hint="eastAsia" w:ascii="方正楷体_GBK" w:hAnsi="方正楷体_GBK" w:eastAsia="方正楷体_GBK" w:cs="方正楷体_GBK"/>
          <w:kern w:val="0"/>
          <w:sz w:val="32"/>
          <w:szCs w:val="32"/>
          <w:highlight w:val="none"/>
          <w:lang w:val="en-US" w:eastAsia="zh-CN"/>
        </w:rPr>
        <w:t>（责任单位：市发展改革委、市住房城乡建设局、市商务局、市金融服务中心）</w:t>
      </w:r>
    </w:p>
    <w:p w14:paraId="134C03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方正楷体_GBK" w:hAnsi="方正楷体_GBK" w:eastAsia="方正楷体_GBK" w:cs="方正楷体_GBK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kern w:val="0"/>
          <w:sz w:val="32"/>
          <w:szCs w:val="32"/>
          <w:highlight w:val="none"/>
          <w:lang w:val="en-US" w:eastAsia="zh-CN"/>
        </w:rPr>
        <w:t>4.推进楼宇精准招商。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对新建楼宇或改造提升楼宇，提前介入产业定位招商，建立政府与楼宇产权主体、运营主体联合招商机制，构建楼宇招商信息共享平台，将楼宇招商纳入全市大招商体系统一部署、一体推进；加强楼宇推广宣传，提高重点楼宇吸引力和影响力；开展楼宇“产业链”招商，围绕数字赋能型、知识驱动型、消费导向型新兴服务业方向，重点招引一批高端专业服务机构、数字经济、科创经济企业，打造资本、技术、人才等要素互融的楼宇产业生态链，提高楼宇产业关联度；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  <w:t>聚力吸引、培育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跨国公司、央国企、优质民企、上市公司区域性总部和结算中心、运营中心、研发中心、营销中心等功能性机构入驻楼宇，提升楼宇产业发展层次。</w:t>
      </w:r>
      <w:r>
        <w:rPr>
          <w:rFonts w:hint="eastAsia" w:ascii="方正楷体_GBK" w:hAnsi="方正楷体_GBK" w:eastAsia="方正楷体_GBK" w:cs="方正楷体_GBK"/>
          <w:kern w:val="0"/>
          <w:sz w:val="32"/>
          <w:szCs w:val="32"/>
          <w:highlight w:val="none"/>
          <w:lang w:val="en-US" w:eastAsia="zh-CN"/>
        </w:rPr>
        <w:t>（责任单位：市发展改革委、市科技局、市工业和信息化局、市商务局、市市场监管局）</w:t>
      </w:r>
    </w:p>
    <w:p w14:paraId="0E5148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kern w:val="0"/>
          <w:sz w:val="32"/>
          <w:szCs w:val="32"/>
          <w:highlight w:val="none"/>
          <w:lang w:val="en-US" w:eastAsia="zh-CN"/>
        </w:rPr>
        <w:t>5.打造专业化特色楼宇。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引导楼宇产业集群化、高端化、品牌化发展，打造一批标杆性主题楼宇、特色楼宇。引导各板块打造符合产业方向的“一楼宇一特色”专业楼宇，支持楼宇运营主体开展“二次招商”，构建特色楼宇产业生态。推动楼宇向现代服务业集聚区提档升级，支持楼宇突出专业主题，推进高端服务业垂直集聚，打造服务业“垂直开发区”。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宜城街道侧重发展商务办公、软件信息、金融等专业楼宇；丁蜀镇、陶都科技新城侧重发展电商直播、智能制造等服务型楼宇；经开区、环科园侧重研发、检测、物流等特色产业楼宇；度假区加快发展文旅文创等楼宇。推进楼宇标准化、专业化建设，参考企业入驻率、入驻品质、产业集聚水平、综合贡献度等方面，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  <w:lang w:val="en-US" w:eastAsia="zh-CN"/>
        </w:rPr>
        <w:t>制定地区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  <w:shd w:val="clear" w:color="auto" w:fill="auto"/>
          <w:lang w:val="en-US" w:eastAsia="zh-CN"/>
        </w:rPr>
        <w:t>认定办法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  <w:lang w:val="en-US" w:eastAsia="zh-CN"/>
        </w:rPr>
        <w:t>，评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u w:val="none"/>
          <w:lang w:val="en-US" w:eastAsia="zh-CN"/>
        </w:rPr>
        <w:t>选认定一批星级楼宇。</w:t>
      </w:r>
      <w:r>
        <w:rPr>
          <w:rFonts w:hint="eastAsia" w:ascii="方正楷体_GBK" w:hAnsi="方正楷体_GBK" w:eastAsia="方正楷体_GBK" w:cs="方正楷体_GBK"/>
          <w:kern w:val="0"/>
          <w:sz w:val="32"/>
          <w:szCs w:val="32"/>
          <w:highlight w:val="none"/>
          <w:lang w:val="en-US" w:eastAsia="zh-CN"/>
        </w:rPr>
        <w:t>（责任单位：市发展改革委、市科技局、市工业和信息化局、市商务局、市市场监管局）</w:t>
      </w:r>
    </w:p>
    <w:p w14:paraId="5E71C4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kern w:val="0"/>
          <w:sz w:val="32"/>
          <w:szCs w:val="32"/>
          <w:highlight w:val="none"/>
          <w:lang w:val="en-US" w:eastAsia="zh-CN"/>
        </w:rPr>
        <w:t>6.壮大楼宇发展规模。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鼓励楼宇增量发展，提高楼宇企业注册率和属地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  <w:t>税收贡献率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，培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育一批高产出、贡献大、规模型楼宇。加强重点税源企业跟踪制度，强化纳税服务，确保楼宇企业应统尽统、应收尽收，实施“准亿元楼宇”“亿元楼宇”梯度培育计划，助推“千万元楼宇”加快晋级，不断扩大税源楼宇储备。“以楼聚产”，推动楼宇经济集群化、规模化发展。</w:t>
      </w:r>
      <w:r>
        <w:rPr>
          <w:rFonts w:hint="eastAsia" w:ascii="方正楷体_GBK" w:hAnsi="方正楷体_GBK" w:eastAsia="方正楷体_GBK" w:cs="方正楷体_GBK"/>
          <w:kern w:val="0"/>
          <w:sz w:val="32"/>
          <w:szCs w:val="32"/>
          <w:highlight w:val="none"/>
          <w:lang w:val="en-US" w:eastAsia="zh-CN"/>
        </w:rPr>
        <w:t>（责任单位：市发展改革委、市税务局）</w:t>
      </w:r>
    </w:p>
    <w:p w14:paraId="26DC71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方正楷体_GBK" w:hAnsi="方正楷体_GBK" w:eastAsia="方正楷体_GBK" w:cs="方正楷体_GBK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kern w:val="0"/>
          <w:sz w:val="32"/>
          <w:szCs w:val="32"/>
          <w:highlight w:val="none"/>
          <w:lang w:val="en-US" w:eastAsia="zh-CN"/>
        </w:rPr>
        <w:t>7.提升楼宇综合服务管理水平。</w:t>
      </w:r>
      <w:r>
        <w:rPr>
          <w:rFonts w:hint="eastAsia" w:ascii="Times New Roman" w:hAnsi="Times New Roman" w:eastAsia="方正仿宋_GBK" w:cs="Times New Roman"/>
          <w:spacing w:val="-4"/>
          <w:sz w:val="32"/>
          <w:szCs w:val="32"/>
          <w:lang w:val="en-US" w:eastAsia="zh-CN"/>
        </w:rPr>
        <w:t>推进政务服务进楼宇，在具备条件的重点楼宇设立“怡心办”便民服务站点，推动自助终端向楼宇延伸，实现政务服务项目自助办理；推进运营服务进楼宇，建立“市、镇（街）、楼”三级楼宇服务机制，以属地板块为主体，设立各楼宇“楼长”，协同做好楼宇招商、产业培育、运营拓展等指导服务。鼓励星级楼宇设立工作站，引入律所、会计师事务所、银行等第三方服务机构进驻，开设财务法务、品牌产权、投资金融等服务窗口，向楼宇企业提供相关服务；推进数智管理进楼宇，有序推进楼宇智能化、数字化管理，鼓励建设智慧服务云平台，实现信息采集、数据统计、政务服务、招商信息交互一体化管理；建立综合评价监测体系，强化楼宇经济动态监测，从入驻企业品质、产业集聚水平、综合贡献度、行业影响力、未来发展潜力、硬件环境、管理服务、楼宇党建等方面，实施综合评价，评选培育一批综合评价优秀楼宇、专业特色楼宇、招商运营成绩突出楼宇。</w:t>
      </w:r>
      <w:r>
        <w:rPr>
          <w:rFonts w:hint="eastAsia" w:ascii="方正楷体_GBK" w:hAnsi="方正楷体_GBK" w:eastAsia="方正楷体_GBK" w:cs="方正楷体_GBK"/>
          <w:kern w:val="0"/>
          <w:sz w:val="32"/>
          <w:szCs w:val="32"/>
          <w:highlight w:val="none"/>
          <w:lang w:val="en-US" w:eastAsia="zh-CN"/>
        </w:rPr>
        <w:t>（责任单位：市发展改革委、市司法局、市财政局、市自然资源规划局、市统计局、市住房城乡建设局、市数据局、市市场监管局）</w:t>
      </w:r>
    </w:p>
    <w:p w14:paraId="63646C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方正楷体_GBK" w:hAnsi="方正楷体_GBK" w:eastAsia="方正楷体_GBK" w:cs="方正楷体_GBK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kern w:val="0"/>
          <w:sz w:val="32"/>
          <w:szCs w:val="32"/>
          <w:highlight w:val="none"/>
          <w:lang w:val="en-US" w:eastAsia="zh-CN"/>
        </w:rPr>
        <w:t>8.发挥楼宇党建引领作用。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推动楼宇党组织建设，扩大楼宇党建工作覆盖面。依托楼宇运营主体、入驻龙头骨干企业党组织，打造楼宇党建共同体，建立楼宇内各类组织、企业、团体联建共建机制，凝聚发展合力，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  <w:t>围绕“宜心向党 新兴聚力”党建工作品牌，推进楼宇友好场景建设，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培育党建引领物业管理服务工作示范点，以高质量党建引领楼宇经济高质量发展。</w:t>
      </w:r>
      <w:r>
        <w:rPr>
          <w:rFonts w:hint="eastAsia" w:ascii="方正楷体_GBK" w:hAnsi="方正楷体_GBK" w:eastAsia="方正楷体_GBK" w:cs="方正楷体_GBK"/>
          <w:kern w:val="0"/>
          <w:sz w:val="32"/>
          <w:szCs w:val="32"/>
          <w:highlight w:val="none"/>
          <w:lang w:val="en-US" w:eastAsia="zh-CN"/>
        </w:rPr>
        <w:t>（责任单位：市委社会工作部）</w:t>
      </w:r>
    </w:p>
    <w:p w14:paraId="3FA5D2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四、组织实施</w:t>
      </w:r>
    </w:p>
    <w:p w14:paraId="1A76A3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kern w:val="0"/>
          <w:sz w:val="32"/>
          <w:szCs w:val="32"/>
          <w:highlight w:val="none"/>
          <w:lang w:val="en-US" w:eastAsia="zh-CN"/>
        </w:rPr>
        <w:t>（一）加强组织领导。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建立完善推进全市楼宇经济发展的组织体系，统筹协调全市楼宇经济发展工作，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 w:bidi="ar-SA"/>
        </w:rPr>
        <w:t>建立楼宇信息动态更新、楼宇招商联动、部门板块协同、评估反馈等工作机制，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市各相关部门和板块进一步明确职责分工和职能定位，压实主体责任，强化结果运用，形成协同发力、合力推进的工作氛围，促进我市楼宇经济高质量发展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。</w:t>
      </w:r>
      <w:bookmarkStart w:id="0" w:name="_GoBack"/>
      <w:bookmarkEnd w:id="0"/>
    </w:p>
    <w:p w14:paraId="49AF4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kern w:val="0"/>
          <w:sz w:val="32"/>
          <w:szCs w:val="32"/>
          <w:highlight w:val="none"/>
          <w:lang w:val="en-US" w:eastAsia="zh-CN"/>
        </w:rPr>
        <w:t>（二）强化服务保障。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着力搭建高效畅通的沟通交流平台，促进政府部门与楼宇产权主体、运营主体、物业服务企业、中介咨询机构及研究机构之间的常态化互动，及时响应诉求、解决难题，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切实提升工作主动性、积极性、有效性。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重点板块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要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结合地方实际，积极开展楼宇规划布点，明确产业定位，做好资金资源导入，提供高品质的服务保障。</w:t>
      </w:r>
    </w:p>
    <w:p w14:paraId="01E92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方正楷体_GBK" w:hAnsi="方正楷体_GBK" w:eastAsia="方正楷体_GBK" w:cs="方正楷体_GBK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方正楷体_GBK" w:hAnsi="方正楷体_GBK" w:eastAsia="方正楷体_GBK" w:cs="方正楷体_GBK"/>
          <w:kern w:val="0"/>
          <w:sz w:val="32"/>
          <w:szCs w:val="32"/>
          <w:highlight w:val="none"/>
          <w:lang w:val="en-US" w:eastAsia="zh-CN"/>
        </w:rPr>
        <w:t>（三）营造良好</w:t>
      </w:r>
      <w:r>
        <w:rPr>
          <w:rFonts w:hint="default" w:ascii="方正楷体_GBK" w:hAnsi="方正楷体_GBK" w:eastAsia="方正楷体_GBK" w:cs="方正楷体_GBK"/>
          <w:kern w:val="0"/>
          <w:sz w:val="32"/>
          <w:szCs w:val="32"/>
          <w:highlight w:val="none"/>
          <w:lang w:val="en-US" w:eastAsia="zh-CN"/>
        </w:rPr>
        <w:t>氛围</w:t>
      </w:r>
      <w:r>
        <w:rPr>
          <w:rFonts w:hint="eastAsia" w:ascii="方正楷体_GBK" w:hAnsi="方正楷体_GBK" w:eastAsia="方正楷体_GBK" w:cs="方正楷体_GBK"/>
          <w:kern w:val="0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充分利用线上线下各类宣传平台，加强对楼宇经济动态信息、招商合作信息、政策服务信息及特色活动的宣传推广。总结提炼并广泛宣传我市楼宇经济发展的成功经验与典型案例，积极推广可复制、可借鉴的新模式新路径，全力打造楼宇经济“宜兴品牌”。</w:t>
      </w:r>
    </w:p>
    <w:p w14:paraId="086E86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</w:pPr>
    </w:p>
    <w:p w14:paraId="1E9486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</w:pPr>
    </w:p>
    <w:p w14:paraId="208294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附件：宜兴市楼宇经济高质量发展扶持政策</w:t>
      </w:r>
    </w:p>
    <w:p w14:paraId="2C499DFD">
      <w:pPr>
        <w:ind w:firstLine="640" w:firstLineChars="200"/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br w:type="page"/>
      </w:r>
    </w:p>
    <w:p w14:paraId="4EF139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</w:p>
    <w:p w14:paraId="43FF938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default" w:ascii="Times New Roman" w:hAnsi="Times New Roman" w:cs="Times New Roman"/>
          <w:lang w:eastAsia="zh-CN"/>
        </w:rPr>
      </w:pPr>
    </w:p>
    <w:p w14:paraId="65BB1E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宜兴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市楼宇经济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高质量发展扶持政策</w:t>
      </w:r>
    </w:p>
    <w:p w14:paraId="7192AD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</w:p>
    <w:p w14:paraId="626FC4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default" w:ascii="Times New Roman" w:hAnsi="Times New Roman" w:eastAsia="方正仿宋_GBK" w:cs="Times New Roman"/>
          <w:spacing w:val="-4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-4"/>
          <w:sz w:val="32"/>
          <w:szCs w:val="32"/>
        </w:rPr>
        <w:t>根据《</w:t>
      </w:r>
      <w:r>
        <w:rPr>
          <w:rFonts w:hint="default" w:ascii="Times New Roman" w:hAnsi="Times New Roman" w:eastAsia="方正仿宋_GBK" w:cs="Times New Roman"/>
          <w:spacing w:val="-4"/>
          <w:sz w:val="32"/>
          <w:szCs w:val="32"/>
          <w:lang w:val="en-US" w:eastAsia="zh-CN"/>
        </w:rPr>
        <w:t>宜兴市楼宇经济高质量发展的实施意见</w:t>
      </w:r>
      <w:r>
        <w:rPr>
          <w:rFonts w:hint="eastAsia" w:ascii="Times New Roman" w:hAnsi="Times New Roman" w:eastAsia="方正仿宋_GBK" w:cs="Times New Roman"/>
          <w:spacing w:val="-4"/>
          <w:sz w:val="32"/>
          <w:szCs w:val="32"/>
          <w:lang w:val="en-US" w:eastAsia="zh-CN"/>
        </w:rPr>
        <w:t>（试行）</w:t>
      </w:r>
      <w:r>
        <w:rPr>
          <w:rFonts w:hint="default" w:ascii="Times New Roman" w:hAnsi="Times New Roman" w:eastAsia="方正仿宋_GBK" w:cs="Times New Roman"/>
          <w:spacing w:val="-4"/>
          <w:sz w:val="32"/>
          <w:szCs w:val="32"/>
        </w:rPr>
        <w:t>》（</w:t>
      </w:r>
      <w:r>
        <w:rPr>
          <w:rFonts w:hint="default" w:ascii="Times New Roman" w:hAnsi="Times New Roman" w:eastAsia="方正仿宋_GBK" w:cs="Times New Roman"/>
          <w:spacing w:val="-4"/>
          <w:sz w:val="32"/>
          <w:szCs w:val="32"/>
          <w:lang w:val="en-US" w:eastAsia="zh-CN"/>
        </w:rPr>
        <w:t>宜发</w:t>
      </w:r>
      <w:r>
        <w:rPr>
          <w:rFonts w:hint="default" w:ascii="Times New Roman" w:hAnsi="Times New Roman" w:eastAsia="方正仿宋_GBK" w:cs="Times New Roman"/>
          <w:spacing w:val="-4"/>
          <w:sz w:val="32"/>
          <w:szCs w:val="32"/>
        </w:rPr>
        <w:t>〔202</w:t>
      </w:r>
      <w:r>
        <w:rPr>
          <w:rFonts w:hint="default" w:ascii="Times New Roman" w:hAnsi="Times New Roman" w:eastAsia="方正仿宋_GBK" w:cs="Times New Roman"/>
          <w:spacing w:val="-4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pacing w:val="-4"/>
          <w:sz w:val="32"/>
          <w:szCs w:val="32"/>
        </w:rPr>
        <w:t>〕</w:t>
      </w:r>
      <w:r>
        <w:rPr>
          <w:rFonts w:hint="default" w:ascii="Times New Roman" w:hAnsi="Times New Roman" w:eastAsia="方正仿宋_GBK" w:cs="Times New Roman"/>
          <w:spacing w:val="-4"/>
          <w:sz w:val="32"/>
          <w:szCs w:val="32"/>
          <w:lang w:val="en-US" w:eastAsia="zh-CN"/>
        </w:rPr>
        <w:t>XX</w:t>
      </w:r>
      <w:r>
        <w:rPr>
          <w:rFonts w:hint="default" w:ascii="Times New Roman" w:hAnsi="Times New Roman" w:eastAsia="方正仿宋_GBK" w:cs="Times New Roman"/>
          <w:spacing w:val="-4"/>
          <w:sz w:val="32"/>
          <w:szCs w:val="32"/>
        </w:rPr>
        <w:t>号），为进一步提升</w:t>
      </w:r>
      <w:r>
        <w:rPr>
          <w:rFonts w:hint="default" w:ascii="Times New Roman" w:hAnsi="Times New Roman" w:eastAsia="方正仿宋_GBK" w:cs="Times New Roman"/>
          <w:spacing w:val="-4"/>
          <w:sz w:val="32"/>
          <w:szCs w:val="32"/>
          <w:lang w:val="en-US" w:eastAsia="zh-CN"/>
        </w:rPr>
        <w:t>宜兴市</w:t>
      </w:r>
      <w:r>
        <w:rPr>
          <w:rFonts w:hint="default" w:ascii="Times New Roman" w:hAnsi="Times New Roman" w:eastAsia="方正仿宋_GBK" w:cs="Times New Roman"/>
          <w:spacing w:val="-4"/>
          <w:sz w:val="32"/>
          <w:szCs w:val="32"/>
        </w:rPr>
        <w:t>楼宇经济发展质效，加速高端服务业集聚，支撑产业创新集群融合发展，结合我市实际，特制定本</w:t>
      </w:r>
      <w:r>
        <w:rPr>
          <w:rFonts w:hint="eastAsia" w:ascii="Times New Roman" w:hAnsi="Times New Roman" w:eastAsia="方正仿宋_GBK" w:cs="Times New Roman"/>
          <w:spacing w:val="-4"/>
          <w:sz w:val="32"/>
          <w:szCs w:val="32"/>
          <w:lang w:val="en-US" w:eastAsia="zh-CN"/>
        </w:rPr>
        <w:t>政策</w:t>
      </w:r>
      <w:r>
        <w:rPr>
          <w:rFonts w:hint="default" w:ascii="Times New Roman" w:hAnsi="Times New Roman" w:eastAsia="方正仿宋_GBK" w:cs="Times New Roman"/>
          <w:spacing w:val="-4"/>
          <w:sz w:val="32"/>
          <w:szCs w:val="32"/>
        </w:rPr>
        <w:t>。</w:t>
      </w:r>
    </w:p>
    <w:p w14:paraId="134C55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5"/>
        <w:textAlignment w:val="auto"/>
        <w:rPr>
          <w:rFonts w:hint="default" w:ascii="Times New Roman" w:hAnsi="Times New Roman" w:eastAsia="黑体" w:cs="Times New Roman"/>
          <w:spacing w:val="-4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-4"/>
          <w:sz w:val="32"/>
          <w:szCs w:val="32"/>
        </w:rPr>
        <w:t>一、</w:t>
      </w:r>
      <w:r>
        <w:rPr>
          <w:rFonts w:hint="eastAsia" w:ascii="Times New Roman" w:hAnsi="Times New Roman" w:eastAsia="黑体" w:cs="Times New Roman"/>
          <w:spacing w:val="-4"/>
          <w:sz w:val="32"/>
          <w:szCs w:val="32"/>
          <w:lang w:val="en-US" w:eastAsia="zh-CN"/>
        </w:rPr>
        <w:t>推荐</w:t>
      </w:r>
      <w:r>
        <w:rPr>
          <w:rFonts w:hint="default" w:ascii="Times New Roman" w:hAnsi="Times New Roman" w:eastAsia="黑体" w:cs="Times New Roman"/>
          <w:spacing w:val="-4"/>
          <w:sz w:val="32"/>
          <w:szCs w:val="32"/>
        </w:rPr>
        <w:t>对象</w:t>
      </w:r>
    </w:p>
    <w:p w14:paraId="79D04B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本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政策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所支持的楼宇是指在我市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纳税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申报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，房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屋规划用途为商业办公或研发，单体建筑办公面积在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8000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平方米（含）以上，具有完备的物业管理和服务体系的商业楼宇，不含宾馆酒店、商场超市、公寓。</w:t>
      </w:r>
    </w:p>
    <w:p w14:paraId="58743D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本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政策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所支持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的</w:t>
      </w:r>
      <w:r>
        <w:rPr>
          <w:rFonts w:hint="default" w:ascii="Times New Roman" w:hAnsi="Times New Roman" w:eastAsia="方正仿宋_GBK" w:cs="Times New Roman"/>
          <w:spacing w:val="-4"/>
          <w:sz w:val="32"/>
          <w:szCs w:val="32"/>
          <w:lang w:val="en-US" w:eastAsia="zh-CN"/>
        </w:rPr>
        <w:t>楼宇运营</w:t>
      </w:r>
      <w:r>
        <w:rPr>
          <w:rFonts w:hint="default" w:ascii="Times New Roman" w:hAnsi="Times New Roman" w:eastAsia="方正仿宋_GBK" w:cs="Times New Roman"/>
          <w:spacing w:val="-4"/>
          <w:sz w:val="32"/>
          <w:szCs w:val="32"/>
        </w:rPr>
        <w:t>主体</w:t>
      </w:r>
      <w:r>
        <w:rPr>
          <w:rFonts w:hint="eastAsia" w:ascii="Times New Roman" w:hAnsi="Times New Roman" w:eastAsia="方正仿宋_GBK" w:cs="Times New Roman"/>
          <w:spacing w:val="-4"/>
          <w:sz w:val="32"/>
          <w:szCs w:val="32"/>
          <w:lang w:val="en-US" w:eastAsia="zh-CN"/>
        </w:rPr>
        <w:t>和入驻企业为</w:t>
      </w:r>
      <w:r>
        <w:rPr>
          <w:rFonts w:hint="default" w:ascii="Times New Roman" w:hAnsi="Times New Roman" w:eastAsia="方正仿宋_GBK" w:cs="Times New Roman"/>
          <w:spacing w:val="-4"/>
          <w:sz w:val="32"/>
          <w:szCs w:val="32"/>
        </w:rPr>
        <w:t>工商注册、税务登记和统计关系均在</w:t>
      </w:r>
      <w:r>
        <w:rPr>
          <w:rFonts w:hint="eastAsia" w:ascii="Times New Roman" w:hAnsi="Times New Roman" w:eastAsia="方正仿宋_GBK" w:cs="Times New Roman"/>
          <w:spacing w:val="-4"/>
          <w:sz w:val="32"/>
          <w:szCs w:val="32"/>
          <w:lang w:val="en-US" w:eastAsia="zh-CN"/>
        </w:rPr>
        <w:t>宜兴</w:t>
      </w:r>
      <w:r>
        <w:rPr>
          <w:rFonts w:hint="default" w:ascii="Times New Roman" w:hAnsi="Times New Roman" w:eastAsia="方正仿宋_GBK" w:cs="Times New Roman"/>
          <w:spacing w:val="-4"/>
          <w:sz w:val="32"/>
          <w:szCs w:val="32"/>
        </w:rPr>
        <w:t>市，且具有法人资格、实行独立核算，管理制度健全，能够有效组织开展运营管理以及相关统计工作，无不良信用记录</w:t>
      </w:r>
      <w:r>
        <w:rPr>
          <w:rFonts w:hint="eastAsia" w:ascii="Times New Roman" w:hAnsi="Times New Roman" w:eastAsia="方正仿宋_GBK" w:cs="Times New Roman"/>
          <w:spacing w:val="-4"/>
          <w:sz w:val="32"/>
          <w:szCs w:val="32"/>
          <w:lang w:eastAsia="zh-CN"/>
        </w:rPr>
        <w:t>。</w:t>
      </w:r>
    </w:p>
    <w:p w14:paraId="722F1A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5"/>
        <w:textAlignment w:val="auto"/>
        <w:rPr>
          <w:rFonts w:hint="default" w:ascii="Times New Roman" w:hAnsi="Times New Roman" w:eastAsia="黑体" w:cs="Times New Roman"/>
          <w:spacing w:val="-4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-4"/>
          <w:sz w:val="32"/>
          <w:szCs w:val="32"/>
        </w:rPr>
        <w:t>二、</w:t>
      </w:r>
      <w:r>
        <w:rPr>
          <w:rFonts w:hint="eastAsia" w:ascii="Times New Roman" w:hAnsi="Times New Roman" w:eastAsia="黑体" w:cs="Times New Roman"/>
          <w:spacing w:val="-4"/>
          <w:sz w:val="32"/>
          <w:szCs w:val="32"/>
          <w:lang w:val="en-US" w:eastAsia="zh-CN"/>
        </w:rPr>
        <w:t>奖励条款</w:t>
      </w:r>
    </w:p>
    <w:p w14:paraId="0872D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default" w:ascii="Times New Roman" w:hAnsi="Times New Roman" w:eastAsia="方正仿宋_GBK" w:cs="Times New Roman"/>
          <w:spacing w:val="-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pacing w:val="-4"/>
          <w:sz w:val="32"/>
          <w:szCs w:val="32"/>
          <w:lang w:val="en-US" w:eastAsia="zh-CN"/>
        </w:rPr>
        <w:t>1.围绕经营实绩、硬件环境、物业管理、运营质量等方面进行综合评价，评选一批市级星级楼宇，</w:t>
      </w:r>
      <w:r>
        <w:rPr>
          <w:rFonts w:hint="default" w:ascii="Times New Roman" w:hAnsi="Times New Roman" w:eastAsia="方正仿宋_GBK" w:cs="Times New Roman"/>
          <w:spacing w:val="-4"/>
          <w:sz w:val="32"/>
          <w:szCs w:val="32"/>
          <w:lang w:val="en-US" w:eastAsia="zh-CN"/>
        </w:rPr>
        <w:t>授予荣誉</w:t>
      </w:r>
      <w:r>
        <w:rPr>
          <w:rFonts w:hint="eastAsia" w:ascii="Times New Roman" w:hAnsi="Times New Roman" w:eastAsia="方正仿宋_GBK" w:cs="Times New Roman"/>
          <w:spacing w:val="-4"/>
          <w:sz w:val="32"/>
          <w:szCs w:val="32"/>
          <w:lang w:val="en-US" w:eastAsia="zh-CN"/>
        </w:rPr>
        <w:t>，并享有以下政策奖励的申请资格；</w:t>
      </w:r>
    </w:p>
    <w:p w14:paraId="6549AA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default" w:ascii="Times New Roman" w:hAnsi="Times New Roman" w:eastAsia="方正仿宋_GBK" w:cs="Times New Roman"/>
          <w:spacing w:val="-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pacing w:val="-4"/>
          <w:sz w:val="32"/>
          <w:szCs w:val="32"/>
          <w:lang w:val="en-US" w:eastAsia="zh-CN"/>
        </w:rPr>
        <w:t>2.对星级楼宇前三名</w:t>
      </w:r>
      <w:r>
        <w:rPr>
          <w:rFonts w:hint="default" w:ascii="Times New Roman" w:hAnsi="Times New Roman" w:eastAsia="方正仿宋_GBK" w:cs="Times New Roman"/>
          <w:spacing w:val="-4"/>
          <w:sz w:val="32"/>
          <w:szCs w:val="32"/>
        </w:rPr>
        <w:t>认定</w:t>
      </w:r>
      <w:r>
        <w:rPr>
          <w:rFonts w:hint="eastAsia" w:ascii="Times New Roman" w:hAnsi="Times New Roman" w:eastAsia="方正仿宋_GBK" w:cs="Times New Roman"/>
          <w:spacing w:val="-4"/>
          <w:sz w:val="32"/>
          <w:szCs w:val="32"/>
          <w:lang w:val="en-US" w:eastAsia="zh-CN"/>
        </w:rPr>
        <w:t>为</w:t>
      </w:r>
      <w:r>
        <w:rPr>
          <w:rFonts w:hint="default" w:ascii="Times New Roman" w:hAnsi="Times New Roman" w:eastAsia="方正仿宋_GBK" w:cs="Times New Roman"/>
          <w:spacing w:val="-4"/>
          <w:sz w:val="32"/>
          <w:szCs w:val="32"/>
        </w:rPr>
        <w:t>综合评价优秀楼宇</w:t>
      </w:r>
      <w:r>
        <w:rPr>
          <w:rFonts w:hint="default" w:ascii="Times New Roman" w:hAnsi="Times New Roman" w:eastAsia="方正仿宋_GBK" w:cs="Times New Roman"/>
          <w:spacing w:val="-4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spacing w:val="-4"/>
          <w:sz w:val="32"/>
          <w:szCs w:val="32"/>
          <w:lang w:val="en-US" w:eastAsia="zh-CN"/>
        </w:rPr>
        <w:t>对楼宇实际运营机构，给予</w:t>
      </w:r>
      <w:r>
        <w:rPr>
          <w:rFonts w:hint="default" w:ascii="Times New Roman" w:hAnsi="Times New Roman" w:eastAsia="方正仿宋_GBK" w:cs="Times New Roman"/>
          <w:spacing w:val="-4"/>
          <w:sz w:val="32"/>
          <w:szCs w:val="32"/>
        </w:rPr>
        <w:t>不超过</w:t>
      </w:r>
      <w:r>
        <w:rPr>
          <w:rFonts w:hint="eastAsia" w:ascii="Times New Roman" w:hAnsi="Times New Roman" w:eastAsia="方正仿宋_GBK" w:cs="Times New Roman"/>
          <w:spacing w:val="-4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pacing w:val="-4"/>
          <w:sz w:val="32"/>
          <w:szCs w:val="32"/>
        </w:rPr>
        <w:t>0万元奖励</w:t>
      </w:r>
      <w:r>
        <w:rPr>
          <w:rFonts w:hint="eastAsia" w:ascii="Times New Roman" w:hAnsi="Times New Roman" w:eastAsia="方正仿宋_GBK" w:cs="Times New Roman"/>
          <w:spacing w:val="-4"/>
          <w:sz w:val="32"/>
          <w:szCs w:val="32"/>
          <w:lang w:val="en-US" w:eastAsia="zh-CN"/>
        </w:rPr>
        <w:t>；</w:t>
      </w:r>
    </w:p>
    <w:p w14:paraId="1ECA65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default" w:ascii="Times New Roman" w:hAnsi="Times New Roman" w:eastAsia="方正仿宋_GBK" w:cs="Times New Roman"/>
          <w:spacing w:val="-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pacing w:val="-4"/>
          <w:sz w:val="32"/>
          <w:szCs w:val="32"/>
          <w:lang w:val="en-US" w:eastAsia="zh-CN"/>
        </w:rPr>
        <w:t>3.对</w:t>
      </w:r>
      <w:r>
        <w:rPr>
          <w:rFonts w:hint="default" w:ascii="Times New Roman" w:hAnsi="Times New Roman" w:eastAsia="方正仿宋_GBK" w:cs="Times New Roman"/>
          <w:spacing w:val="-4"/>
          <w:sz w:val="32"/>
          <w:szCs w:val="32"/>
        </w:rPr>
        <w:t>入驻率达70%及以上，入驻企业符合</w:t>
      </w:r>
      <w:r>
        <w:rPr>
          <w:rFonts w:hint="eastAsia" w:ascii="Times New Roman" w:hAnsi="Times New Roman" w:eastAsia="方正仿宋_GBK" w:cs="Times New Roman"/>
          <w:spacing w:val="-4"/>
          <w:sz w:val="32"/>
          <w:szCs w:val="32"/>
          <w:lang w:val="en-US" w:eastAsia="zh-CN"/>
        </w:rPr>
        <w:t>宜兴</w:t>
      </w:r>
      <w:r>
        <w:rPr>
          <w:rFonts w:hint="default" w:ascii="Times New Roman" w:hAnsi="Times New Roman" w:eastAsia="方正仿宋_GBK" w:cs="Times New Roman"/>
          <w:spacing w:val="-4"/>
          <w:sz w:val="32"/>
          <w:szCs w:val="32"/>
        </w:rPr>
        <w:t>市产业发展重点支持方向，其使用楼宇面积达到入驻企业办公面积的</w:t>
      </w:r>
      <w:r>
        <w:rPr>
          <w:rFonts w:hint="eastAsia" w:ascii="Times New Roman" w:hAnsi="Times New Roman" w:eastAsia="方正仿宋_GBK" w:cs="Times New Roman"/>
          <w:spacing w:val="-4"/>
          <w:sz w:val="32"/>
          <w:szCs w:val="32"/>
          <w:lang w:val="en-US" w:eastAsia="zh-CN"/>
        </w:rPr>
        <w:t>50</w:t>
      </w:r>
      <w:r>
        <w:rPr>
          <w:rFonts w:hint="default" w:ascii="Times New Roman" w:hAnsi="Times New Roman" w:eastAsia="方正仿宋_GBK" w:cs="Times New Roman"/>
          <w:spacing w:val="-4"/>
          <w:sz w:val="32"/>
          <w:szCs w:val="32"/>
        </w:rPr>
        <w:t>%及以上的</w:t>
      </w:r>
      <w:r>
        <w:rPr>
          <w:rFonts w:hint="eastAsia" w:ascii="Times New Roman" w:hAnsi="Times New Roman" w:eastAsia="方正仿宋_GBK" w:cs="Times New Roman"/>
          <w:spacing w:val="-4"/>
          <w:sz w:val="32"/>
          <w:szCs w:val="32"/>
          <w:lang w:val="en-US" w:eastAsia="zh-CN"/>
        </w:rPr>
        <w:t>楼宇评定为专业特色楼宇，对楼宇实际运营机构，一次性给予不超过10万元奖励，并优先推荐申报省级现代服务业高质量发展集聚示范区，争取省级专项资金支持。</w:t>
      </w:r>
    </w:p>
    <w:p w14:paraId="4831A3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pacing w:val="-4"/>
          <w:sz w:val="32"/>
          <w:szCs w:val="32"/>
          <w:lang w:val="en-US" w:eastAsia="zh-CN"/>
        </w:rPr>
        <w:t>4.对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楼宇内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新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入驻总部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型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企业、功能性机构、服务业领军企业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和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创新型示范企业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Times New Roman" w:hAnsi="Times New Roman" w:eastAsia="方正仿宋_GBK" w:cs="Times New Roman"/>
          <w:color w:val="auto"/>
          <w:spacing w:val="-4"/>
          <w:sz w:val="32"/>
          <w:szCs w:val="32"/>
          <w:lang w:val="en-US" w:eastAsia="zh-CN"/>
        </w:rPr>
        <w:t>科技创新型企业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等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优质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企业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家以上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、运营成效明显的楼宇运营机构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给予10万元奖励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，并优先推荐申报省、市物业管理示范项目。</w:t>
      </w:r>
    </w:p>
    <w:p w14:paraId="25E4C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Times New Roman" w:hAnsi="Times New Roman" w:eastAsia="方正仿宋_GBK" w:cs="Times New Roman"/>
          <w:color w:val="auto"/>
          <w:spacing w:val="-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pacing w:val="-4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Times New Roman"/>
          <w:color w:val="auto"/>
          <w:spacing w:val="-4"/>
          <w:sz w:val="32"/>
          <w:szCs w:val="32"/>
          <w:lang w:val="en-US" w:eastAsia="zh-CN"/>
        </w:rPr>
        <w:t>.对新入驻（首次来宜兴发展，首次在宜兴注册登记）的总部型企业、功能性机构，</w:t>
      </w:r>
      <w:r>
        <w:rPr>
          <w:rFonts w:hint="eastAsia" w:ascii="Times New Roman" w:hAnsi="Times New Roman" w:eastAsia="方正仿宋_GBK" w:cs="Times New Roman"/>
          <w:color w:val="auto"/>
          <w:spacing w:val="-4"/>
          <w:sz w:val="32"/>
          <w:szCs w:val="32"/>
          <w:shd w:val="clear" w:color="auto" w:fill="auto"/>
          <w:lang w:val="en-US" w:eastAsia="zh-CN"/>
        </w:rPr>
        <w:t>经营状况良好，给予一次性落户补助；持续经营2年以上</w:t>
      </w:r>
      <w:r>
        <w:rPr>
          <w:rFonts w:hint="eastAsia" w:ascii="Times New Roman" w:hAnsi="Times New Roman" w:eastAsia="方正仿宋_GBK" w:cs="Times New Roman"/>
          <w:color w:val="auto"/>
          <w:spacing w:val="-4"/>
          <w:sz w:val="32"/>
          <w:szCs w:val="32"/>
          <w:lang w:val="en-US" w:eastAsia="zh-CN"/>
        </w:rPr>
        <w:t>的自第二年起给予</w:t>
      </w:r>
      <w:r>
        <w:rPr>
          <w:rFonts w:hint="eastAsia" w:ascii="Times New Roman" w:hAnsi="Times New Roman" w:eastAsia="方正仿宋_GBK" w:cs="Times New Roman"/>
          <w:color w:val="auto"/>
          <w:spacing w:val="-4"/>
          <w:sz w:val="32"/>
          <w:szCs w:val="32"/>
          <w:shd w:val="clear" w:color="auto" w:fill="auto"/>
          <w:lang w:val="en-US" w:eastAsia="zh-CN"/>
        </w:rPr>
        <w:t>运营</w:t>
      </w:r>
      <w:r>
        <w:rPr>
          <w:rFonts w:hint="eastAsia" w:ascii="Times New Roman" w:hAnsi="Times New Roman" w:eastAsia="方正仿宋_GBK" w:cs="Times New Roman"/>
          <w:color w:val="auto"/>
          <w:spacing w:val="-4"/>
          <w:sz w:val="32"/>
          <w:szCs w:val="32"/>
          <w:lang w:val="en-US" w:eastAsia="zh-CN"/>
        </w:rPr>
        <w:t>补贴。</w:t>
      </w:r>
    </w:p>
    <w:p w14:paraId="481DF5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default" w:ascii="Times New Roman" w:hAnsi="Times New Roman" w:eastAsia="方正仿宋_GBK" w:cs="Times New Roman"/>
          <w:color w:val="auto"/>
          <w:spacing w:val="-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pacing w:val="-4"/>
          <w:sz w:val="32"/>
          <w:szCs w:val="32"/>
          <w:lang w:val="en-US" w:eastAsia="zh-CN"/>
        </w:rPr>
        <w:t>6.对首次被列为上级相关部门定报或年报核算单位的主辅分离企业，</w:t>
      </w:r>
      <w:r>
        <w:rPr>
          <w:rFonts w:hint="eastAsia" w:ascii="Times New Roman" w:hAnsi="Times New Roman" w:eastAsia="方正仿宋_GBK" w:cs="Times New Roman"/>
          <w:spacing w:val="-4"/>
          <w:sz w:val="32"/>
          <w:szCs w:val="32"/>
          <w:lang w:val="en-US" w:eastAsia="zh-CN"/>
        </w:rPr>
        <w:t>一次性给予不超过10万元奖励</w:t>
      </w:r>
      <w:r>
        <w:rPr>
          <w:rFonts w:hint="eastAsia" w:ascii="Times New Roman" w:hAnsi="Times New Roman" w:eastAsia="方正仿宋_GBK" w:cs="Times New Roman"/>
          <w:color w:val="auto"/>
          <w:spacing w:val="-4"/>
          <w:sz w:val="32"/>
          <w:szCs w:val="32"/>
          <w:lang w:val="en-US" w:eastAsia="zh-CN"/>
        </w:rPr>
        <w:t>。</w:t>
      </w:r>
    </w:p>
    <w:p w14:paraId="4D6462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4" w:firstLineChars="200"/>
        <w:textAlignment w:val="auto"/>
        <w:rPr>
          <w:rFonts w:hint="eastAsia" w:ascii="Times New Roman" w:hAnsi="Times New Roman" w:eastAsia="方正仿宋_GBK" w:cs="Times New Roman"/>
          <w:spacing w:val="-4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pacing w:val="-4"/>
          <w:sz w:val="32"/>
          <w:szCs w:val="32"/>
          <w:lang w:val="en-US" w:eastAsia="zh-CN"/>
        </w:rPr>
        <w:t>7.对竣工验收合格并投入使用10年以上的星级楼宇，对公共部位和共用设施设备升级改造，改造面积达3000平方米及以上，且符合产业提升发展方向的，按照改造工程项目审计决算金额最高不超过10%给予补贴，最高不超过30万。</w:t>
      </w:r>
    </w:p>
    <w:p w14:paraId="4FFF15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8.支持楼宇引进高端专业人才，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对符合条件的，按照市级相关人才政策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给予奖励。</w:t>
      </w:r>
    </w:p>
    <w:p w14:paraId="41953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  <w:t>对于同一奖励对象，符合多条奖励条款的，按照就高不重复进行奖励；本政策与我市其他产业奖补政策有重复交叉的，按照“从优、从高、不重复”原则执行。</w:t>
      </w:r>
    </w:p>
    <w:p w14:paraId="11203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8338FDA-3467-438C-8403-53F867F76E5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B69F3EBE-4D72-43D9-B87A-8DDDF48262CC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E1D8BEF-72A6-4E46-A340-D17DEB47259B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4CDC9BD6-61DB-4ECE-846D-F7A4BA1EA9C3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9000A306-6E99-4BD5-B7B0-9C19E01C603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90064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A2427E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A2427E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HorizontalSpacing w:val="148"/>
  <w:drawingGridVerticalSpacing w:val="31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ED74A5"/>
    <w:rsid w:val="011078C7"/>
    <w:rsid w:val="02A95337"/>
    <w:rsid w:val="03CF75C5"/>
    <w:rsid w:val="064E5119"/>
    <w:rsid w:val="067D3E1B"/>
    <w:rsid w:val="06AA21AF"/>
    <w:rsid w:val="073C7668"/>
    <w:rsid w:val="07B70A9C"/>
    <w:rsid w:val="092B2C0D"/>
    <w:rsid w:val="0CC53C5B"/>
    <w:rsid w:val="0E3746E5"/>
    <w:rsid w:val="0E476157"/>
    <w:rsid w:val="0F3D3F7D"/>
    <w:rsid w:val="10613F72"/>
    <w:rsid w:val="11F56D91"/>
    <w:rsid w:val="12C0114D"/>
    <w:rsid w:val="12C329EB"/>
    <w:rsid w:val="14ED74A5"/>
    <w:rsid w:val="150F1F18"/>
    <w:rsid w:val="151D2886"/>
    <w:rsid w:val="16041350"/>
    <w:rsid w:val="17033CFE"/>
    <w:rsid w:val="1989206E"/>
    <w:rsid w:val="198C1D89"/>
    <w:rsid w:val="1A516B2E"/>
    <w:rsid w:val="1B4C5AF8"/>
    <w:rsid w:val="1BDA3BAB"/>
    <w:rsid w:val="1C3E1334"/>
    <w:rsid w:val="1C55721E"/>
    <w:rsid w:val="1E3C64F5"/>
    <w:rsid w:val="1F3A4035"/>
    <w:rsid w:val="1F551D7F"/>
    <w:rsid w:val="1FB67B38"/>
    <w:rsid w:val="1FF54A39"/>
    <w:rsid w:val="206A26F8"/>
    <w:rsid w:val="20B76DF4"/>
    <w:rsid w:val="20E22BD6"/>
    <w:rsid w:val="235F22BC"/>
    <w:rsid w:val="23922691"/>
    <w:rsid w:val="23C42022"/>
    <w:rsid w:val="23F24EDE"/>
    <w:rsid w:val="246774B9"/>
    <w:rsid w:val="25A55F80"/>
    <w:rsid w:val="28235FAE"/>
    <w:rsid w:val="28317BCD"/>
    <w:rsid w:val="29080D00"/>
    <w:rsid w:val="294604C6"/>
    <w:rsid w:val="29AE7AF9"/>
    <w:rsid w:val="2CA376BD"/>
    <w:rsid w:val="2D972B1F"/>
    <w:rsid w:val="2E3A5DFF"/>
    <w:rsid w:val="2FE04785"/>
    <w:rsid w:val="302D729E"/>
    <w:rsid w:val="306C468B"/>
    <w:rsid w:val="30744ECD"/>
    <w:rsid w:val="311F22C5"/>
    <w:rsid w:val="313F372D"/>
    <w:rsid w:val="31614F93"/>
    <w:rsid w:val="346911EC"/>
    <w:rsid w:val="384855BD"/>
    <w:rsid w:val="384B29B7"/>
    <w:rsid w:val="388727CC"/>
    <w:rsid w:val="39031215"/>
    <w:rsid w:val="3A496A79"/>
    <w:rsid w:val="3AE07D2F"/>
    <w:rsid w:val="3BA77E39"/>
    <w:rsid w:val="3BC1546A"/>
    <w:rsid w:val="3C1B5C6A"/>
    <w:rsid w:val="3CA5180F"/>
    <w:rsid w:val="3D6B2F4F"/>
    <w:rsid w:val="3F95733A"/>
    <w:rsid w:val="41BC1F64"/>
    <w:rsid w:val="464A0752"/>
    <w:rsid w:val="46867B12"/>
    <w:rsid w:val="47413903"/>
    <w:rsid w:val="47EF15B1"/>
    <w:rsid w:val="483D47E8"/>
    <w:rsid w:val="49357497"/>
    <w:rsid w:val="4EEA0D24"/>
    <w:rsid w:val="4F8E16AF"/>
    <w:rsid w:val="52630BD1"/>
    <w:rsid w:val="540A3BE5"/>
    <w:rsid w:val="5420670C"/>
    <w:rsid w:val="55484D4A"/>
    <w:rsid w:val="56410B70"/>
    <w:rsid w:val="57AF2B0B"/>
    <w:rsid w:val="58B857BF"/>
    <w:rsid w:val="593952C1"/>
    <w:rsid w:val="59B671D4"/>
    <w:rsid w:val="5E733354"/>
    <w:rsid w:val="5F075286"/>
    <w:rsid w:val="61446072"/>
    <w:rsid w:val="63CF256B"/>
    <w:rsid w:val="6455042D"/>
    <w:rsid w:val="64B654D9"/>
    <w:rsid w:val="67A13C10"/>
    <w:rsid w:val="685748DD"/>
    <w:rsid w:val="69551053"/>
    <w:rsid w:val="6A4E61B3"/>
    <w:rsid w:val="6B7439F8"/>
    <w:rsid w:val="6C7A70C3"/>
    <w:rsid w:val="6E1119D2"/>
    <w:rsid w:val="6E3A0F28"/>
    <w:rsid w:val="6E9A7825"/>
    <w:rsid w:val="6EC428A1"/>
    <w:rsid w:val="6F3E4F2C"/>
    <w:rsid w:val="6FC5660A"/>
    <w:rsid w:val="71D64DD9"/>
    <w:rsid w:val="74652A80"/>
    <w:rsid w:val="756B7C19"/>
    <w:rsid w:val="762D1373"/>
    <w:rsid w:val="77ED4DB8"/>
    <w:rsid w:val="784A45E5"/>
    <w:rsid w:val="79633DB7"/>
    <w:rsid w:val="79EA1A55"/>
    <w:rsid w:val="79F34DF1"/>
    <w:rsid w:val="7B6018A2"/>
    <w:rsid w:val="7C1230D2"/>
    <w:rsid w:val="7C542B7E"/>
    <w:rsid w:val="7CAE655A"/>
    <w:rsid w:val="7D001E68"/>
    <w:rsid w:val="7EC65EC0"/>
    <w:rsid w:val="7F6D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  <w:rPr>
      <w:rFonts w:eastAsia="楷体" w:asciiTheme="minorAscii" w:hAnsiTheme="minorAscii"/>
      <w:sz w:val="32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2"/>
    <w:basedOn w:val="1"/>
    <w:next w:val="1"/>
    <w:unhideWhenUsed/>
    <w:qFormat/>
    <w:uiPriority w:val="39"/>
    <w:pPr>
      <w:ind w:left="420" w:leftChars="200"/>
    </w:p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4132</Words>
  <Characters>4191</Characters>
  <Lines>0</Lines>
  <Paragraphs>0</Paragraphs>
  <TotalTime>6</TotalTime>
  <ScaleCrop>false</ScaleCrop>
  <LinksUpToDate>false</LinksUpToDate>
  <CharactersWithSpaces>4193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2025-07-24T00:49:00Z</dcterms:created>
  <dc:creator>德赫亚</dc:creator>
  <cp:lastModifiedBy>殷晖</cp:lastModifiedBy>
  <cp:lastPrinted>2025-09-04T01:42:00Z</cp:lastPrinted>
  <dcterms:modified xsi:type="dcterms:W3CDTF">2025-09-05T09:23:04Z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15DD61C701E141CD911C51F4E33655E9_13</vt:lpwstr>
  </property>
  <property fmtid="{D5CDD505-2E9C-101B-9397-08002B2CF9AE}" pid="4" name="KSOTemplateDocerSaveRecord">
    <vt:lpwstr>eyJoZGlkIjoiN2YzNjBkOTgyNWQ1YTMxYzM3MzMwNWFiODNmOWIzYWMiLCJ1c2VySWQiOiIzMDgyNzA4MzAifQ==</vt:lpwstr>
  </property>
</Properties>
</file>