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CDDC7">
      <w:pPr>
        <w:pStyle w:val="4"/>
        <w:kinsoku/>
        <w:overflowPunct/>
        <w:autoSpaceDE/>
        <w:autoSpaceDN/>
        <w:bidi w:val="0"/>
        <w:spacing w:line="240" w:lineRule="auto"/>
        <w:textAlignment w:val="auto"/>
        <w:rPr>
          <w:rFonts w:hint="default" w:ascii="宋体" w:hAnsi="宋体" w:eastAsia="宋体"/>
          <w:b/>
          <w:bCs/>
          <w:sz w:val="28"/>
          <w:szCs w:val="28"/>
          <w:highlight w:val="none"/>
          <w:lang w:val="en-US" w:eastAsia="zh-CN"/>
        </w:rPr>
      </w:pPr>
      <w:r>
        <w:rPr>
          <w:rFonts w:hint="eastAsia" w:ascii="宋体" w:hAnsi="宋体" w:eastAsia="宋体"/>
          <w:b/>
          <w:bCs/>
          <w:sz w:val="28"/>
          <w:szCs w:val="28"/>
          <w:highlight w:val="none"/>
        </w:rPr>
        <w:t>附件：评标细则</w:t>
      </w:r>
    </w:p>
    <w:p w14:paraId="36B7857B">
      <w:pPr>
        <w:widowControl/>
        <w:spacing w:line="600" w:lineRule="exact"/>
        <w:ind w:firstLine="560" w:firstLineChars="200"/>
        <w:jc w:val="left"/>
        <w:rPr>
          <w:rFonts w:hint="eastAsia" w:ascii="Times New Roman" w:hAnsi="Times New Roman"/>
        </w:rPr>
      </w:pPr>
      <w:r>
        <w:rPr>
          <w:rFonts w:hint="eastAsia" w:ascii="宋体" w:hAnsi="宋体" w:cs="宋体"/>
          <w:color w:val="000000"/>
          <w:kern w:val="0"/>
          <w:sz w:val="28"/>
          <w:szCs w:val="28"/>
          <w:lang w:bidi="ar"/>
        </w:rPr>
        <w:t xml:space="preserve">本次评标采用“评标入围法+合理低价法”评标办法，总分 100 分，由评标委员会按以下规则计算汇总评审结果，按照评标总分从高到低的顺序向招标人推荐 1 至 3 名中标候选人，并标明排序。如评标总分相同，评标价低的优先；评标价也相等的，由招标人以抽签方式确定排序。招标文件“第三章 评标办法”与本细则不一致的，以本细则为准。具体如下： </w:t>
      </w:r>
    </w:p>
    <w:p w14:paraId="280FEA6B">
      <w:pPr>
        <w:widowControl/>
        <w:spacing w:line="600" w:lineRule="exact"/>
        <w:jc w:val="left"/>
        <w:rPr>
          <w:rFonts w:ascii="Times New Roman" w:hAnsi="Times New Roman"/>
        </w:rPr>
      </w:pPr>
      <w:r>
        <w:rPr>
          <w:rFonts w:hint="eastAsia" w:ascii="宋体" w:hAnsi="宋体" w:cs="宋体"/>
          <w:b/>
          <w:bCs/>
          <w:color w:val="000000"/>
          <w:kern w:val="0"/>
          <w:sz w:val="28"/>
          <w:szCs w:val="28"/>
          <w:lang w:bidi="ar"/>
        </w:rPr>
        <w:t xml:space="preserve">一、评标入围办法 </w:t>
      </w:r>
    </w:p>
    <w:p w14:paraId="4D2E28DC">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当递交投标文件的投标人数量不超过 30 家时，采用“全部入围法”；当递交投标文件的投标人数量超过 30 家时，采用“去高去低入围法”。具体入围方法如下： </w:t>
      </w:r>
    </w:p>
    <w:p w14:paraId="319217F0">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1、全部入围法 </w:t>
      </w:r>
    </w:p>
    <w:p w14:paraId="2EE615F0">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所有递交投标文件的投标人全部进入后续开评标程序。 </w:t>
      </w:r>
    </w:p>
    <w:p w14:paraId="2D0A89EC">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2、去高去低入围法 </w:t>
      </w:r>
    </w:p>
    <w:p w14:paraId="15773D76">
      <w:pPr>
        <w:widowControl/>
        <w:spacing w:line="600" w:lineRule="exact"/>
        <w:ind w:firstLine="280" w:firstLineChars="100"/>
        <w:jc w:val="left"/>
        <w:rPr>
          <w:rFonts w:ascii="Times New Roman" w:hAnsi="Times New Roman"/>
        </w:rPr>
      </w:pPr>
      <w:r>
        <w:rPr>
          <w:rFonts w:hint="eastAsia" w:ascii="宋体" w:hAnsi="宋体" w:cs="宋体"/>
          <w:color w:val="000000"/>
          <w:kern w:val="0"/>
          <w:sz w:val="28"/>
          <w:szCs w:val="28"/>
          <w:lang w:bidi="ar"/>
        </w:rPr>
        <w:t xml:space="preserve">（1）开标结束后，评标委员会先按投标报价由高到低去除投标人 </w:t>
      </w:r>
    </w:p>
    <w:p w14:paraId="11ED148D">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数量×G1（G1 值为 10%、15%、20%、25%、30%）最高投标报价的投标 人和由低到高去除投标人数量×G2（G2 值为 10%、15%、20%）最低投 标报价的投标人（去高、去低的数量四舍五入后取整，末位报价相同 的均去除），G1 和 G2 在开标时由招标人代表随机抽取确定。投标报价是指开标时公布的报价，投标人数量是指递交评标委员会评审的投标人数量。 </w:t>
      </w:r>
    </w:p>
    <w:p w14:paraId="7DBF0157">
      <w:pPr>
        <w:widowControl/>
        <w:spacing w:line="600" w:lineRule="exact"/>
        <w:ind w:firstLine="280" w:firstLineChars="100"/>
        <w:jc w:val="left"/>
        <w:rPr>
          <w:rFonts w:ascii="Times New Roman" w:hAnsi="Times New Roman"/>
        </w:rPr>
      </w:pPr>
      <w:r>
        <w:rPr>
          <w:rFonts w:hint="eastAsia" w:ascii="宋体" w:hAnsi="宋体" w:cs="宋体"/>
          <w:color w:val="000000"/>
          <w:kern w:val="0"/>
          <w:sz w:val="28"/>
          <w:szCs w:val="28"/>
          <w:lang w:bidi="ar"/>
        </w:rPr>
        <w:t xml:space="preserve">（2）去除的投标人不进入后续评标程序，评标委员会对入围投标 </w:t>
      </w:r>
    </w:p>
    <w:p w14:paraId="3CBEB3EB">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人按照招标文件规定的评标方法进行评审。 </w:t>
      </w:r>
    </w:p>
    <w:p w14:paraId="3AA7A582">
      <w:pPr>
        <w:widowControl/>
        <w:spacing w:line="600" w:lineRule="exact"/>
        <w:ind w:firstLine="280" w:firstLineChars="100"/>
        <w:jc w:val="left"/>
        <w:rPr>
          <w:rFonts w:ascii="Times New Roman" w:hAnsi="Times New Roman"/>
        </w:rPr>
      </w:pPr>
      <w:r>
        <w:rPr>
          <w:rFonts w:hint="eastAsia" w:ascii="宋体" w:hAnsi="宋体" w:cs="宋体"/>
          <w:color w:val="000000"/>
          <w:kern w:val="0"/>
          <w:sz w:val="28"/>
          <w:szCs w:val="28"/>
          <w:lang w:bidi="ar"/>
        </w:rPr>
        <w:t xml:space="preserve">（3）评标入围结果不因招投标当事人质疑、投诉、复议以及其他 </w:t>
      </w:r>
    </w:p>
    <w:p w14:paraId="3A254173">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任何情形而改变（计算错误应作调整）。 </w:t>
      </w:r>
    </w:p>
    <w:p w14:paraId="28484DFC">
      <w:pPr>
        <w:widowControl/>
        <w:spacing w:line="600" w:lineRule="exact"/>
        <w:jc w:val="left"/>
        <w:rPr>
          <w:rFonts w:ascii="Times New Roman" w:hAnsi="Times New Roman"/>
        </w:rPr>
      </w:pPr>
      <w:r>
        <w:rPr>
          <w:rFonts w:hint="eastAsia" w:ascii="宋体" w:hAnsi="宋体" w:cs="宋体"/>
          <w:b/>
          <w:bCs/>
          <w:color w:val="000000"/>
          <w:kern w:val="0"/>
          <w:sz w:val="28"/>
          <w:szCs w:val="28"/>
          <w:lang w:bidi="ar"/>
        </w:rPr>
        <w:t xml:space="preserve">二、投标报价得分（100 分） </w:t>
      </w:r>
    </w:p>
    <w:p w14:paraId="20A05B27">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1、按以下方法确定评标基准价： </w:t>
      </w:r>
    </w:p>
    <w:p w14:paraId="27E78F59">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评标基准价=(A×35%＋B×45%＋C×20%)×K </w:t>
      </w:r>
    </w:p>
    <w:p w14:paraId="767E949F">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A＝最高投标限价×（100%-下浮率Δ）。 </w:t>
      </w:r>
    </w:p>
    <w:p w14:paraId="70F17E46">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下浮率Δ的抽取范围为：</w:t>
      </w:r>
      <w:r>
        <w:rPr>
          <w:rFonts w:hint="eastAsia" w:ascii="宋体" w:hAnsi="宋体" w:cs="宋体"/>
          <w:color w:val="000000"/>
          <w:kern w:val="0"/>
          <w:sz w:val="28"/>
          <w:szCs w:val="28"/>
          <w:highlight w:val="none"/>
          <w:lang w:val="en-US" w:eastAsia="zh-CN" w:bidi="ar"/>
        </w:rPr>
        <w:t>10</w:t>
      </w:r>
      <w:r>
        <w:rPr>
          <w:rFonts w:hint="eastAsia" w:ascii="宋体" w:hAnsi="宋体" w:cs="宋体"/>
          <w:color w:val="000000"/>
          <w:kern w:val="0"/>
          <w:sz w:val="28"/>
          <w:szCs w:val="28"/>
          <w:highlight w:val="none"/>
          <w:lang w:bidi="ar"/>
        </w:rPr>
        <w:t>%、1</w:t>
      </w:r>
      <w:r>
        <w:rPr>
          <w:rFonts w:hint="eastAsia" w:ascii="宋体" w:hAnsi="宋体" w:cs="宋体"/>
          <w:color w:val="000000"/>
          <w:kern w:val="0"/>
          <w:sz w:val="28"/>
          <w:szCs w:val="28"/>
          <w:highlight w:val="none"/>
          <w:lang w:val="en-US" w:eastAsia="zh-CN" w:bidi="ar"/>
        </w:rPr>
        <w:t>1</w:t>
      </w:r>
      <w:r>
        <w:rPr>
          <w:rFonts w:hint="eastAsia" w:ascii="宋体" w:hAnsi="宋体" w:cs="宋体"/>
          <w:color w:val="000000"/>
          <w:kern w:val="0"/>
          <w:sz w:val="28"/>
          <w:szCs w:val="28"/>
          <w:highlight w:val="none"/>
          <w:lang w:bidi="ar"/>
        </w:rPr>
        <w:t>%、1</w:t>
      </w:r>
      <w:r>
        <w:rPr>
          <w:rFonts w:hint="eastAsia" w:ascii="宋体" w:hAnsi="宋体" w:cs="宋体"/>
          <w:color w:val="000000"/>
          <w:kern w:val="0"/>
          <w:sz w:val="28"/>
          <w:szCs w:val="28"/>
          <w:highlight w:val="none"/>
          <w:lang w:val="en-US" w:eastAsia="zh-CN" w:bidi="ar"/>
        </w:rPr>
        <w:t>2</w:t>
      </w:r>
      <w:r>
        <w:rPr>
          <w:rFonts w:hint="eastAsia" w:ascii="宋体" w:hAnsi="宋体" w:cs="宋体"/>
          <w:color w:val="000000"/>
          <w:kern w:val="0"/>
          <w:sz w:val="28"/>
          <w:szCs w:val="28"/>
          <w:highlight w:val="none"/>
          <w:lang w:bidi="ar"/>
        </w:rPr>
        <w:t xml:space="preserve">%。 </w:t>
      </w:r>
    </w:p>
    <w:p w14:paraId="032F0169">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 xml:space="preserve">B＝在规定范围内的本次投标除 C 值外的任意一个评标价。 </w:t>
      </w:r>
    </w:p>
    <w:p w14:paraId="1AE4F0A6">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 xml:space="preserve">C＝在规定范围内的本次开标最低评标价。 </w:t>
      </w:r>
      <w:bookmarkStart w:id="0" w:name="_GoBack"/>
      <w:bookmarkEnd w:id="0"/>
    </w:p>
    <w:p w14:paraId="3F47B479">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Ｋ为下浮系数，取值范围为： 9</w:t>
      </w:r>
      <w:r>
        <w:rPr>
          <w:rFonts w:hint="eastAsia" w:ascii="宋体" w:hAnsi="宋体" w:cs="宋体"/>
          <w:color w:val="000000"/>
          <w:kern w:val="0"/>
          <w:sz w:val="28"/>
          <w:szCs w:val="28"/>
          <w:highlight w:val="none"/>
          <w:lang w:val="en-US" w:eastAsia="zh-CN" w:bidi="ar"/>
        </w:rPr>
        <w:t>5</w:t>
      </w:r>
      <w:r>
        <w:rPr>
          <w:rFonts w:hint="eastAsia" w:ascii="宋体" w:hAnsi="宋体" w:cs="宋体"/>
          <w:color w:val="000000"/>
          <w:kern w:val="0"/>
          <w:sz w:val="28"/>
          <w:szCs w:val="28"/>
          <w:highlight w:val="none"/>
          <w:lang w:bidi="ar"/>
        </w:rPr>
        <w:t>%、9</w:t>
      </w:r>
      <w:r>
        <w:rPr>
          <w:rFonts w:hint="eastAsia" w:ascii="宋体" w:hAnsi="宋体" w:cs="宋体"/>
          <w:color w:val="000000"/>
          <w:kern w:val="0"/>
          <w:sz w:val="28"/>
          <w:szCs w:val="28"/>
          <w:highlight w:val="none"/>
          <w:lang w:val="en-US" w:eastAsia="zh-CN" w:bidi="ar"/>
        </w:rPr>
        <w:t>5.5</w:t>
      </w:r>
      <w:r>
        <w:rPr>
          <w:rFonts w:hint="eastAsia" w:ascii="宋体" w:hAnsi="宋体" w:cs="宋体"/>
          <w:color w:val="000000"/>
          <w:kern w:val="0"/>
          <w:sz w:val="28"/>
          <w:szCs w:val="28"/>
          <w:highlight w:val="none"/>
          <w:lang w:bidi="ar"/>
        </w:rPr>
        <w:t>%、9</w:t>
      </w:r>
      <w:r>
        <w:rPr>
          <w:rFonts w:hint="eastAsia" w:ascii="宋体" w:hAnsi="宋体" w:cs="宋体"/>
          <w:color w:val="000000"/>
          <w:kern w:val="0"/>
          <w:sz w:val="28"/>
          <w:szCs w:val="28"/>
          <w:highlight w:val="none"/>
          <w:lang w:val="en-US" w:eastAsia="zh-CN" w:bidi="ar"/>
        </w:rPr>
        <w:t>6</w:t>
      </w:r>
      <w:r>
        <w:rPr>
          <w:rFonts w:hint="eastAsia" w:ascii="宋体" w:hAnsi="宋体" w:cs="宋体"/>
          <w:color w:val="000000"/>
          <w:kern w:val="0"/>
          <w:sz w:val="28"/>
          <w:szCs w:val="28"/>
          <w:highlight w:val="none"/>
          <w:lang w:bidi="ar"/>
        </w:rPr>
        <w:t xml:space="preserve">%。 </w:t>
      </w:r>
    </w:p>
    <w:p w14:paraId="2745DC0C">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 xml:space="preserve">规定范围内是指： </w:t>
      </w:r>
    </w:p>
    <w:p w14:paraId="1FF17DC6">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(1)评标价≤最高投标限价×（100%-下浮率Δ）。 </w:t>
      </w:r>
    </w:p>
    <w:p w14:paraId="5C4F232C">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(2)评标价≥所有通过第⑴步评审合格的投标人评标价算术平均值×90%。 </w:t>
      </w:r>
    </w:p>
    <w:p w14:paraId="61430113">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(3)特殊情况处理：规定范围内的评标价只有一家时，B 值和 C 值均取该评标价；没有符合规定范围内的评标价时，本工程流标。 </w:t>
      </w:r>
    </w:p>
    <w:p w14:paraId="5B6CC65F">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2、有效投标文件的评标价等于评标基准价的得满分（100 分）， </w:t>
      </w:r>
    </w:p>
    <w:p w14:paraId="1AB1C1C3">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评标价相对评标基准价每高 1%扣 0.9 分，每低 1%扣 0.6 分，不足 1%的，按照插入法计算得分，分值按四舍五入取二位小数。 </w:t>
      </w:r>
    </w:p>
    <w:p w14:paraId="7B75F28F">
      <w:pPr>
        <w:widowControl/>
        <w:spacing w:line="600" w:lineRule="exact"/>
        <w:jc w:val="left"/>
        <w:rPr>
          <w:rFonts w:ascii="Times New Roman" w:hAnsi="Times New Roman"/>
        </w:rPr>
      </w:pPr>
      <w:r>
        <w:rPr>
          <w:rFonts w:hint="eastAsia" w:ascii="宋体" w:hAnsi="宋体" w:cs="宋体"/>
          <w:b/>
          <w:bCs/>
          <w:color w:val="000000"/>
          <w:kern w:val="0"/>
          <w:sz w:val="28"/>
          <w:szCs w:val="28"/>
          <w:lang w:bidi="ar"/>
        </w:rPr>
        <w:t xml:space="preserve">评标细则说明： </w:t>
      </w:r>
    </w:p>
    <w:p w14:paraId="26E29498">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1、有效投标文件是指评标委员会初步评审合格的投标文件;评标 价指经澄清、补正和修正算术错误的投标报价。 </w:t>
      </w:r>
    </w:p>
    <w:p w14:paraId="60893100">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2、不参与评标基准价计算的有效投标文件均不影响其评标及推荐为中标候选人。 </w:t>
      </w:r>
    </w:p>
    <w:p w14:paraId="11D91BBA">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3、评标基准价和信用分权重相关数值及评标基准价计算方法(如有,先抽计算方法)的抽取在招标人(招标代理机构)完成评标准备工作, 评标委员会完成初步评审,并经评标委员会所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 </w:t>
      </w:r>
    </w:p>
    <w:p w14:paraId="7C0B9D1F">
      <w:pPr>
        <w:pStyle w:val="5"/>
        <w:spacing w:line="460" w:lineRule="exact"/>
        <w:jc w:val="left"/>
        <w:rPr>
          <w:rFonts w:hint="eastAsia" w:ascii="宋体" w:hAnsi="宋体" w:eastAsia="宋体" w:cs="宋体"/>
          <w:b w:val="0"/>
          <w:bCs/>
          <w:sz w:val="28"/>
          <w:szCs w:val="28"/>
          <w:shd w:val="clear" w:color="auto" w:fill="FFFFFF"/>
        </w:rPr>
      </w:pPr>
      <w:r>
        <w:rPr>
          <w:rFonts w:hint="eastAsia" w:ascii="宋体" w:hAnsi="宋体" w:cs="宋体"/>
          <w:color w:val="000000"/>
          <w:kern w:val="0"/>
          <w:sz w:val="28"/>
          <w:szCs w:val="28"/>
          <w:lang w:bidi="ar"/>
        </w:rPr>
        <w:t>4、相关数值抽取后,在抽取现场确定评标基准价,评标基准价确定后不因招投标当事人质疑、投诉、复议以及其他任何情形而改变(计算错误应作调整)。</w:t>
      </w:r>
    </w:p>
    <w:p w14:paraId="6079C76B">
      <w:pPr>
        <w:rPr>
          <w:rFonts w:hint="eastAsia"/>
          <w:color w:val="000080"/>
          <w:sz w:val="20"/>
          <w:highlight w:val="white"/>
        </w:rPr>
      </w:pPr>
      <w:r>
        <w:rPr>
          <w:rFonts w:hint="eastAsia"/>
          <w:color w:val="000080"/>
          <w:sz w:val="20"/>
          <w:highlight w:val="white"/>
        </w:rPr>
        <w:t xml:space="preserve"> </w:t>
      </w:r>
    </w:p>
    <w:p w14:paraId="744F4E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DE4BA0"/>
    <w:rsid w:val="51F53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_2"/>
    <w:qFormat/>
    <w:uiPriority w:val="0"/>
    <w:pPr>
      <w:widowControl w:val="0"/>
      <w:jc w:val="both"/>
    </w:pPr>
    <w:rPr>
      <w:rFonts w:ascii="Times New Roman" w:hAnsi="Times New Roman" w:eastAsia="Times New Roman" w:cs="Times New Roman"/>
      <w:lang w:eastAsia="en-US"/>
    </w:rPr>
  </w:style>
  <w:style w:type="paragraph" w:customStyle="1" w:styleId="5">
    <w:name w:val="正文_0"/>
    <w:qFormat/>
    <w:uiPriority w:val="0"/>
    <w:pPr>
      <w:widowControl w:val="0"/>
      <w:jc w:val="both"/>
    </w:pPr>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1270</Words>
  <Characters>1344</Characters>
  <Lines>0</Lines>
  <Paragraphs>0</Paragraphs>
  <TotalTime>0</TotalTime>
  <ScaleCrop>false</ScaleCrop>
  <LinksUpToDate>false</LinksUpToDate>
  <CharactersWithSpaces>1413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2025-09-29T08:23:00Z</dcterms:created>
  <dc:creator>Lenovo</dc:creator>
  <cp:lastModifiedBy>的的</cp:lastModifiedBy>
  <dcterms:modified xsi:type="dcterms:W3CDTF">2025-10-17T01:29:53Z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eyJoZGlkIjoiM2ZhN2Q4NDliNGY5MGFlYzU2Mzk0MGUyMzY1ZThhMGEiLCJ1c2VySWQiOiI4MDQ4NTgxOTMifQ==</vt:lpwstr>
  </property>
  <property fmtid="{D5CDD505-2E9C-101B-9397-08002B2CF9AE}" pid="4" name="ICV">
    <vt:lpwstr>240B483E75F148A3AFFB7FFCDD1A8595_12</vt:lpwstr>
  </property>
</Properties>
</file>