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江苏省</w:t>
      </w:r>
      <w:r>
        <w:rPr>
          <w:rFonts w:hint="eastAsia" w:ascii="Times New Roman" w:hAnsi="Times New Roman" w:eastAsia="方正小标宋_GBK" w:cs="Times New Roman"/>
          <w:sz w:val="44"/>
          <w:szCs w:val="44"/>
          <w:lang w:val="en-US" w:eastAsia="zh-CN"/>
        </w:rPr>
        <w:t>宜兴市</w:t>
      </w:r>
      <w:r>
        <w:rPr>
          <w:rFonts w:ascii="Times New Roman" w:hAnsi="Times New Roman" w:eastAsia="方正小标宋_GBK" w:cs="Times New Roman"/>
          <w:sz w:val="44"/>
          <w:szCs w:val="44"/>
        </w:rPr>
        <w:t>公证</w:t>
      </w:r>
      <w:r>
        <w:rPr>
          <w:rFonts w:hint="eastAsia" w:ascii="Times New Roman" w:hAnsi="Times New Roman" w:eastAsia="方正小标宋_GBK" w:cs="Times New Roman"/>
          <w:sz w:val="44"/>
          <w:szCs w:val="44"/>
          <w:lang w:val="en-US" w:eastAsia="zh-CN"/>
        </w:rPr>
        <w:t>处</w:t>
      </w:r>
      <w:r>
        <w:rPr>
          <w:rFonts w:hint="eastAsia" w:ascii="Times New Roman" w:hAnsi="Times New Roman" w:eastAsia="方正小标宋_GBK" w:cs="Times New Roman"/>
          <w:sz w:val="44"/>
          <w:szCs w:val="44"/>
        </w:rPr>
        <w:t>市场调节价</w:t>
      </w:r>
    </w:p>
    <w:p>
      <w:pPr>
        <w:spacing w:line="60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公证服务项目收费标准</w:t>
      </w:r>
    </w:p>
    <w:p>
      <w:pPr>
        <w:spacing w:line="600" w:lineRule="exact"/>
        <w:ind w:firstLine="643" w:firstLineChars="200"/>
        <w:jc w:val="center"/>
        <w:rPr>
          <w:rFonts w:ascii="Times New Roman" w:hAnsi="Times New Roman" w:eastAsia="楷体_GB2312" w:cs="Times New Roman"/>
          <w:b/>
          <w:sz w:val="32"/>
          <w:szCs w:val="32"/>
        </w:rPr>
      </w:pPr>
    </w:p>
    <w:p>
      <w:pPr>
        <w:widowControl/>
        <w:adjustRightInd w:val="0"/>
        <w:snapToGrid w:val="0"/>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依据国家发展改革委、司法部《关于进一步完善公证服务价格形成机制的指导意见》（发改价格</w:t>
      </w:r>
      <w:r>
        <w:rPr>
          <w:rFonts w:ascii="Times New Roman" w:hAnsi="Times New Roman" w:eastAsia="仿宋_GB2312" w:cs="Times New Roman"/>
          <w:color w:val="000000"/>
          <w:kern w:val="0"/>
          <w:sz w:val="32"/>
          <w:szCs w:val="32"/>
        </w:rPr>
        <w:t>〔2021〕</w:t>
      </w:r>
      <w:r>
        <w:rPr>
          <w:rFonts w:ascii="Times New Roman" w:hAnsi="Times New Roman" w:eastAsia="仿宋_GB2312" w:cs="Times New Roman"/>
          <w:color w:val="000000"/>
          <w:sz w:val="32"/>
          <w:szCs w:val="32"/>
        </w:rPr>
        <w:t>1081号）、</w:t>
      </w:r>
      <w:r>
        <w:rPr>
          <w:rFonts w:ascii="Times New Roman" w:hAnsi="Times New Roman" w:eastAsia="仿宋_GB2312" w:cs="Times New Roman"/>
          <w:color w:val="000000"/>
          <w:kern w:val="0"/>
          <w:sz w:val="32"/>
          <w:szCs w:val="32"/>
        </w:rPr>
        <w:t>《江苏省公证服务收费管理办法》</w:t>
      </w:r>
      <w:r>
        <w:rPr>
          <w:rFonts w:ascii="Times New Roman" w:hAnsi="Times New Roman" w:eastAsia="仿宋_GB2312" w:cs="Times New Roman"/>
          <w:color w:val="000000"/>
          <w:sz w:val="32"/>
          <w:szCs w:val="32"/>
        </w:rPr>
        <w:t>（</w:t>
      </w:r>
      <w:r>
        <w:rPr>
          <w:rFonts w:ascii="Times New Roman" w:hAnsi="Times New Roman" w:eastAsia="仿宋_GB2312" w:cs="Times New Roman"/>
          <w:color w:val="000000"/>
          <w:kern w:val="0"/>
          <w:sz w:val="32"/>
          <w:szCs w:val="32"/>
        </w:rPr>
        <w:t>苏发改规发〔2022〕1号）相关精神和江苏</w:t>
      </w:r>
      <w:r>
        <w:rPr>
          <w:rFonts w:ascii="Times New Roman" w:hAnsi="Times New Roman" w:eastAsia="仿宋_GB2312" w:cs="Times New Roman"/>
          <w:color w:val="000000"/>
          <w:sz w:val="32"/>
          <w:szCs w:val="32"/>
        </w:rPr>
        <w:t>省发展改革委、江苏省司法厅《关于公布江苏省实行政府指导价管理的公证服务项目目录及收费标准的通知》（苏发改收费发</w:t>
      </w:r>
      <w:r>
        <w:rPr>
          <w:rFonts w:ascii="Times New Roman" w:hAnsi="Times New Roman" w:eastAsia="仿宋_GB2312" w:cs="Times New Roman"/>
          <w:color w:val="000000"/>
          <w:kern w:val="0"/>
          <w:sz w:val="32"/>
          <w:szCs w:val="32"/>
        </w:rPr>
        <w:t>〔2024〕144号）“未列入目录的公证服务项目收费，实行市场调节价管理，由公证机构与当事人协商确定收费标准”的</w:t>
      </w:r>
      <w:r>
        <w:rPr>
          <w:rFonts w:ascii="Times New Roman" w:hAnsi="Times New Roman" w:eastAsia="仿宋_GB2312" w:cs="Times New Roman"/>
          <w:color w:val="000000"/>
          <w:sz w:val="32"/>
          <w:szCs w:val="32"/>
        </w:rPr>
        <w:t>规定，制定本公证处实行市场调节价管理的公证服务项目的收费标准，并公示如下。</w:t>
      </w:r>
    </w:p>
    <w:p>
      <w:pPr>
        <w:spacing w:line="600" w:lineRule="exact"/>
        <w:ind w:firstLine="560" w:firstLineChars="200"/>
        <w:jc w:val="left"/>
        <w:rPr>
          <w:rFonts w:ascii="Times New Roman" w:hAnsi="Times New Roman" w:eastAsia="楷体" w:cs="Times New Roman"/>
          <w:color w:val="FF0000"/>
          <w:sz w:val="28"/>
          <w:szCs w:val="28"/>
        </w:rPr>
      </w:pPr>
    </w:p>
    <w:tbl>
      <w:tblPr>
        <w:tblStyle w:val="3"/>
        <w:tblW w:w="8788"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35"/>
        <w:gridCol w:w="3118"/>
        <w:gridCol w:w="28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90" w:hRule="atLeast"/>
          <w:jc w:val="center"/>
        </w:trPr>
        <w:tc>
          <w:tcPr>
            <w:tcW w:w="2835" w:type="dxa"/>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center"/>
              <w:textAlignment w:val="center"/>
              <w:rPr>
                <w:rFonts w:ascii="Times New Roman" w:hAnsi="Times New Roman" w:eastAsia="仿宋_GB2312" w:cs="Times New Roman"/>
                <w:b/>
                <w:color w:val="000000"/>
                <w:szCs w:val="21"/>
              </w:rPr>
            </w:pPr>
            <w:r>
              <w:rPr>
                <w:rFonts w:ascii="Times New Roman" w:hAnsi="Times New Roman" w:eastAsia="仿宋_GB2312" w:cs="Times New Roman"/>
                <w:b/>
                <w:color w:val="000000"/>
                <w:kern w:val="0"/>
              </w:rPr>
              <w:t>服务项目</w:t>
            </w:r>
          </w:p>
        </w:tc>
        <w:tc>
          <w:tcPr>
            <w:tcW w:w="3118" w:type="dxa"/>
            <w:tcBorders>
              <w:top w:val="single" w:color="000000" w:sz="4" w:space="0"/>
              <w:left w:val="nil"/>
              <w:bottom w:val="single" w:color="000000" w:sz="4" w:space="0"/>
              <w:right w:val="single" w:color="000000" w:sz="4" w:space="0"/>
            </w:tcBorders>
            <w:noWrap/>
            <w:vAlign w:val="center"/>
          </w:tcPr>
          <w:p>
            <w:pPr>
              <w:widowControl/>
              <w:spacing w:line="400" w:lineRule="exact"/>
              <w:jc w:val="center"/>
              <w:textAlignment w:val="center"/>
              <w:rPr>
                <w:rFonts w:ascii="Times New Roman" w:hAnsi="Times New Roman" w:eastAsia="仿宋_GB2312" w:cs="Times New Roman"/>
                <w:b/>
                <w:color w:val="000000"/>
                <w:szCs w:val="21"/>
              </w:rPr>
            </w:pPr>
            <w:r>
              <w:rPr>
                <w:rFonts w:ascii="Times New Roman" w:hAnsi="Times New Roman" w:eastAsia="仿宋_GB2312" w:cs="Times New Roman"/>
                <w:b/>
                <w:color w:val="000000"/>
                <w:kern w:val="0"/>
              </w:rPr>
              <w:t>收费标准</w:t>
            </w:r>
          </w:p>
        </w:tc>
        <w:tc>
          <w:tcPr>
            <w:tcW w:w="2835" w:type="dxa"/>
            <w:tcBorders>
              <w:top w:val="single" w:color="000000" w:sz="4" w:space="0"/>
              <w:left w:val="nil"/>
              <w:bottom w:val="single" w:color="000000" w:sz="4" w:space="0"/>
              <w:right w:val="single" w:color="000000" w:sz="4" w:space="0"/>
            </w:tcBorders>
            <w:noWrap/>
            <w:vAlign w:val="top"/>
          </w:tcPr>
          <w:p>
            <w:pPr>
              <w:widowControl/>
              <w:spacing w:line="400" w:lineRule="exact"/>
              <w:jc w:val="center"/>
              <w:textAlignment w:val="center"/>
              <w:rPr>
                <w:rFonts w:ascii="Times New Roman" w:hAnsi="Times New Roman" w:eastAsia="仿宋_GB2312" w:cs="Times New Roman"/>
                <w:b/>
                <w:color w:val="000000"/>
                <w:kern w:val="0"/>
                <w:szCs w:val="21"/>
              </w:rPr>
            </w:pPr>
            <w:r>
              <w:rPr>
                <w:rFonts w:ascii="Times New Roman" w:hAnsi="Times New Roman" w:eastAsia="仿宋_GB2312" w:cs="Times New Roman"/>
                <w:b/>
                <w:color w:val="000000"/>
                <w:kern w:val="0"/>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8" w:hRule="atLeast"/>
          <w:jc w:val="center"/>
        </w:trPr>
        <w:tc>
          <w:tcPr>
            <w:tcW w:w="2835"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szCs w:val="21"/>
              </w:rPr>
            </w:pPr>
            <w:r>
              <w:rPr>
                <w:rFonts w:ascii="Times New Roman" w:hAnsi="Times New Roman" w:eastAsia="仿宋_GB2312" w:cs="Times New Roman"/>
                <w:color w:val="000000"/>
                <w:kern w:val="0"/>
              </w:rPr>
              <w:t>1.证明开奖、抽签、会议、订立公司章程、物品销毁、竞赛等现场监督公证</w:t>
            </w:r>
          </w:p>
        </w:tc>
        <w:tc>
          <w:tcPr>
            <w:tcW w:w="3118" w:type="dxa"/>
            <w:tcBorders>
              <w:top w:val="single" w:color="000000" w:sz="4" w:space="0"/>
              <w:left w:val="nil"/>
              <w:bottom w:val="single" w:color="000000" w:sz="4" w:space="0"/>
              <w:right w:val="single" w:color="000000" w:sz="4" w:space="0"/>
            </w:tcBorders>
            <w:noWrap/>
            <w:vAlign w:val="center"/>
          </w:tcPr>
          <w:p>
            <w:pPr>
              <w:widowControl/>
              <w:spacing w:line="240" w:lineRule="exact"/>
              <w:textAlignment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rPr>
              <w:t>1小时以内的，每件收费2000元；每超过1小时加收1000元（不足1小时的按1小时计）。</w:t>
            </w:r>
          </w:p>
        </w:tc>
        <w:tc>
          <w:tcPr>
            <w:tcW w:w="2835" w:type="dxa"/>
            <w:tcBorders>
              <w:top w:val="single" w:color="000000" w:sz="4" w:space="0"/>
              <w:left w:val="nil"/>
              <w:bottom w:val="single" w:color="000000" w:sz="4" w:space="0"/>
              <w:right w:val="single" w:color="000000" w:sz="4" w:space="0"/>
            </w:tcBorders>
            <w:noWrap/>
            <w:vAlign w:val="center"/>
          </w:tcPr>
          <w:p>
            <w:pPr>
              <w:widowControl/>
              <w:spacing w:line="240" w:lineRule="exact"/>
              <w:textAlignment w:val="center"/>
              <w:rPr>
                <w:rFonts w:ascii="Times New Roman" w:hAnsi="Times New Roman" w:eastAsia="仿宋_GB2312" w:cs="Times New Roman"/>
                <w:b/>
                <w:color w:val="000000"/>
                <w:kern w:val="0"/>
                <w:szCs w:val="21"/>
              </w:rPr>
            </w:pPr>
            <w:r>
              <w:rPr>
                <w:rFonts w:ascii="Times New Roman" w:hAnsi="Times New Roman" w:eastAsia="仿宋_GB2312" w:cs="Times New Roman"/>
                <w:color w:val="000000"/>
                <w:kern w:val="0"/>
              </w:rPr>
              <w:t>案情或环境复杂，或需要多名公证人员参与的，或公证人员参与、指导方案设计的等，协商确定。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339" w:hRule="atLeast"/>
          <w:jc w:val="center"/>
        </w:trPr>
        <w:tc>
          <w:tcPr>
            <w:tcW w:w="2835"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rPr>
              <w:t>2.公证机构主持确定商品房选房顺序号</w:t>
            </w:r>
          </w:p>
        </w:tc>
        <w:tc>
          <w:tcPr>
            <w:tcW w:w="3118" w:type="dxa"/>
            <w:tcBorders>
              <w:top w:val="single" w:color="000000" w:sz="4" w:space="0"/>
              <w:left w:val="nil"/>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rPr>
              <w:t>一轮摇号的，每件收取30000元-50000元；每增加一轮摇号的，加收50%；增加的总比例不超过100%。</w:t>
            </w:r>
          </w:p>
        </w:tc>
        <w:tc>
          <w:tcPr>
            <w:tcW w:w="2835" w:type="dxa"/>
            <w:tcBorders>
              <w:top w:val="single" w:color="000000" w:sz="4" w:space="0"/>
              <w:left w:val="nil"/>
              <w:bottom w:val="single" w:color="000000" w:sz="4" w:space="0"/>
              <w:right w:val="single" w:color="000000" w:sz="4" w:space="0"/>
            </w:tcBorders>
            <w:noWrap/>
            <w:vAlign w:val="center"/>
          </w:tcPr>
          <w:p>
            <w:pPr>
              <w:widowControl/>
              <w:spacing w:line="240" w:lineRule="exact"/>
              <w:textAlignment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rPr>
              <w:t>确定保障房、车位等其他顺序号的，参照执行。需要进行预审查的，每件加收5000元-10000元。同一项目需要对摇号前和摇号后提供延伸服务的，根据复杂程度，协商确定。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399" w:hRule="atLeast"/>
          <w:jc w:val="center"/>
        </w:trPr>
        <w:tc>
          <w:tcPr>
            <w:tcW w:w="2835"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FF0000"/>
                <w:szCs w:val="21"/>
              </w:rPr>
            </w:pPr>
            <w:r>
              <w:rPr>
                <w:rFonts w:ascii="Times New Roman" w:hAnsi="Times New Roman" w:eastAsia="仿宋_GB2312" w:cs="Times New Roman"/>
                <w:color w:val="000000"/>
                <w:kern w:val="0"/>
              </w:rPr>
              <w:t>3.对财产清点、购物、送达、现场状况、当事人陈述、书证、物证、视听资料、电子数据、证人证言等行为和事实保全证据公证</w:t>
            </w:r>
          </w:p>
        </w:tc>
        <w:tc>
          <w:tcPr>
            <w:tcW w:w="3118" w:type="dxa"/>
            <w:tcBorders>
              <w:top w:val="single" w:color="000000" w:sz="4" w:space="0"/>
              <w:left w:val="nil"/>
              <w:bottom w:val="single" w:color="000000" w:sz="4" w:space="0"/>
              <w:right w:val="single" w:color="000000" w:sz="4" w:space="0"/>
            </w:tcBorders>
            <w:noWrap/>
            <w:vAlign w:val="center"/>
          </w:tcPr>
          <w:p>
            <w:pPr>
              <w:widowControl/>
              <w:spacing w:line="240" w:lineRule="exact"/>
              <w:textAlignment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rPr>
              <w:t>1小时以内的，每件收费1000元-2000元；每超过1小时加收1000元（不足1小时的按1小时计）。</w:t>
            </w:r>
          </w:p>
        </w:tc>
        <w:tc>
          <w:tcPr>
            <w:tcW w:w="2835" w:type="dxa"/>
            <w:tcBorders>
              <w:top w:val="single" w:color="000000" w:sz="4" w:space="0"/>
              <w:left w:val="nil"/>
              <w:bottom w:val="single" w:color="000000" w:sz="4" w:space="0"/>
              <w:right w:val="single" w:color="000000" w:sz="4" w:space="0"/>
            </w:tcBorders>
            <w:noWrap/>
            <w:vAlign w:val="center"/>
          </w:tcPr>
          <w:p>
            <w:pPr>
              <w:widowControl/>
              <w:spacing w:line="240" w:lineRule="exact"/>
              <w:textAlignment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rPr>
              <w:t>案情或环境复杂，或需要多名公证人员参与的，协商确定。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64" w:hRule="atLeast"/>
          <w:jc w:val="center"/>
        </w:trPr>
        <w:tc>
          <w:tcPr>
            <w:tcW w:w="2835"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FF0000"/>
                <w:szCs w:val="21"/>
              </w:rPr>
            </w:pPr>
            <w:r>
              <w:rPr>
                <w:rFonts w:hint="eastAsia" w:ascii="Times New Roman" w:hAnsi="Times New Roman" w:eastAsia="仿宋_GB2312" w:cs="Times New Roman"/>
                <w:color w:val="000000"/>
                <w:kern w:val="0"/>
              </w:rPr>
              <w:t>4</w:t>
            </w:r>
            <w:r>
              <w:rPr>
                <w:rFonts w:ascii="Times New Roman" w:hAnsi="Times New Roman" w:eastAsia="仿宋_GB2312" w:cs="Times New Roman"/>
                <w:color w:val="000000"/>
                <w:kern w:val="0"/>
              </w:rPr>
              <w:t>.用于涉外、涉港澳台继承的亲属关系公证</w:t>
            </w:r>
          </w:p>
        </w:tc>
        <w:tc>
          <w:tcPr>
            <w:tcW w:w="3118" w:type="dxa"/>
            <w:tcBorders>
              <w:top w:val="single" w:color="000000" w:sz="4" w:space="0"/>
              <w:left w:val="nil"/>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b/>
                <w:color w:val="FF0000"/>
                <w:kern w:val="0"/>
                <w:szCs w:val="21"/>
                <w:highlight w:val="yellow"/>
              </w:rPr>
            </w:pPr>
            <w:r>
              <w:rPr>
                <w:rFonts w:ascii="Times New Roman" w:hAnsi="Times New Roman" w:eastAsia="仿宋_GB2312" w:cs="Times New Roman"/>
                <w:color w:val="000000"/>
                <w:kern w:val="0"/>
                <w:highlight w:val="none"/>
              </w:rPr>
              <w:t>参照江苏省</w:t>
            </w:r>
            <w:r>
              <w:rPr>
                <w:rFonts w:hint="eastAsia" w:ascii="Times New Roman" w:hAnsi="Times New Roman" w:eastAsia="仿宋_GB2312" w:cs="Times New Roman"/>
                <w:color w:val="000000"/>
                <w:kern w:val="0"/>
                <w:highlight w:val="none"/>
                <w:lang w:val="en-US" w:eastAsia="zh-CN"/>
              </w:rPr>
              <w:t>宜兴市</w:t>
            </w:r>
            <w:r>
              <w:rPr>
                <w:rFonts w:ascii="Times New Roman" w:hAnsi="Times New Roman" w:eastAsia="仿宋_GB2312" w:cs="Times New Roman"/>
                <w:color w:val="000000"/>
                <w:kern w:val="0"/>
                <w:highlight w:val="none"/>
              </w:rPr>
              <w:t>公证处</w:t>
            </w:r>
            <w:bookmarkStart w:id="0" w:name="_GoBack"/>
            <w:bookmarkEnd w:id="0"/>
            <w:r>
              <w:rPr>
                <w:rFonts w:hint="eastAsia" w:ascii="Times New Roman" w:hAnsi="Times New Roman" w:eastAsia="仿宋_GB2312" w:cs="Times New Roman"/>
                <w:color w:val="000000"/>
                <w:kern w:val="0"/>
                <w:highlight w:val="none"/>
                <w:lang w:val="en-US" w:eastAsia="zh-CN"/>
              </w:rPr>
              <w:t>政府指导价</w:t>
            </w:r>
            <w:r>
              <w:rPr>
                <w:rFonts w:ascii="Times New Roman" w:hAnsi="Times New Roman" w:eastAsia="仿宋_GB2312" w:cs="Times New Roman"/>
                <w:color w:val="000000"/>
                <w:kern w:val="0"/>
                <w:highlight w:val="none"/>
              </w:rPr>
              <w:t>公证服务</w:t>
            </w:r>
            <w:r>
              <w:rPr>
                <w:rFonts w:hint="eastAsia" w:ascii="Times New Roman" w:hAnsi="Times New Roman" w:eastAsia="仿宋_GB2312" w:cs="Times New Roman"/>
                <w:color w:val="000000"/>
                <w:kern w:val="0"/>
                <w:highlight w:val="none"/>
                <w:lang w:val="en-US" w:eastAsia="zh-CN"/>
              </w:rPr>
              <w:t>项目</w:t>
            </w:r>
            <w:r>
              <w:rPr>
                <w:rFonts w:ascii="Times New Roman" w:hAnsi="Times New Roman" w:eastAsia="仿宋_GB2312" w:cs="Times New Roman"/>
                <w:color w:val="000000"/>
                <w:kern w:val="0"/>
                <w:highlight w:val="none"/>
              </w:rPr>
              <w:t>收费标准第10项收取。</w:t>
            </w:r>
          </w:p>
        </w:tc>
        <w:tc>
          <w:tcPr>
            <w:tcW w:w="2835" w:type="dxa"/>
            <w:tcBorders>
              <w:top w:val="single" w:color="000000" w:sz="4" w:space="0"/>
              <w:left w:val="nil"/>
              <w:bottom w:val="single" w:color="000000" w:sz="4" w:space="0"/>
              <w:right w:val="single" w:color="000000" w:sz="4" w:space="0"/>
            </w:tcBorders>
            <w:noWrap/>
            <w:vAlign w:val="top"/>
          </w:tcPr>
          <w:p>
            <w:pPr>
              <w:widowControl/>
              <w:spacing w:line="240" w:lineRule="exact"/>
              <w:jc w:val="left"/>
              <w:textAlignment w:val="center"/>
              <w:rPr>
                <w:rFonts w:ascii="Times New Roman" w:hAnsi="Times New Roman" w:eastAsia="仿宋_GB2312" w:cs="Times New Roman"/>
                <w:color w:val="FF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77" w:hRule="atLeast"/>
          <w:jc w:val="center"/>
        </w:trPr>
        <w:tc>
          <w:tcPr>
            <w:tcW w:w="2835"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rPr>
              <w:t>5</w:t>
            </w:r>
            <w:r>
              <w:rPr>
                <w:rFonts w:ascii="Times New Roman" w:hAnsi="Times New Roman" w:eastAsia="仿宋_GB2312" w:cs="Times New Roman"/>
                <w:color w:val="000000"/>
                <w:kern w:val="0"/>
              </w:rPr>
              <w:t>.意定监护公证</w:t>
            </w:r>
          </w:p>
        </w:tc>
        <w:tc>
          <w:tcPr>
            <w:tcW w:w="3118" w:type="dxa"/>
            <w:tcBorders>
              <w:top w:val="single" w:color="000000" w:sz="4" w:space="0"/>
              <w:left w:val="nil"/>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rPr>
              <w:t>每件收费5000元起。</w:t>
            </w:r>
          </w:p>
        </w:tc>
        <w:tc>
          <w:tcPr>
            <w:tcW w:w="2835" w:type="dxa"/>
            <w:tcBorders>
              <w:top w:val="single" w:color="000000" w:sz="4" w:space="0"/>
              <w:left w:val="nil"/>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65" w:hRule="atLeast"/>
          <w:jc w:val="center"/>
        </w:trPr>
        <w:tc>
          <w:tcPr>
            <w:tcW w:w="2835"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rPr>
              <w:t>6</w:t>
            </w:r>
            <w:r>
              <w:rPr>
                <w:rFonts w:ascii="Times New Roman" w:hAnsi="Times New Roman" w:eastAsia="仿宋_GB2312" w:cs="Times New Roman"/>
                <w:color w:val="000000"/>
                <w:kern w:val="0"/>
              </w:rPr>
              <w:t>.预嘱公证</w:t>
            </w:r>
          </w:p>
        </w:tc>
        <w:tc>
          <w:tcPr>
            <w:tcW w:w="3118" w:type="dxa"/>
            <w:tcBorders>
              <w:top w:val="single" w:color="000000" w:sz="4" w:space="0"/>
              <w:left w:val="nil"/>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rPr>
              <w:t>每件收费1000元。</w:t>
            </w:r>
          </w:p>
        </w:tc>
        <w:tc>
          <w:tcPr>
            <w:tcW w:w="2835" w:type="dxa"/>
            <w:tcBorders>
              <w:top w:val="single" w:color="000000" w:sz="4" w:space="0"/>
              <w:left w:val="nil"/>
              <w:bottom w:val="single" w:color="000000" w:sz="4" w:space="0"/>
              <w:right w:val="single" w:color="000000" w:sz="4" w:space="0"/>
            </w:tcBorders>
            <w:noWrap/>
            <w:vAlign w:val="center"/>
          </w:tcPr>
          <w:p>
            <w:pPr>
              <w:widowControl/>
              <w:spacing w:line="240" w:lineRule="exact"/>
              <w:textAlignment w:val="center"/>
              <w:rPr>
                <w:rFonts w:ascii="Times New Roman" w:hAnsi="Times New Roman" w:eastAsia="仿宋_GB2312" w:cs="Times New Roman"/>
                <w:b/>
                <w:color w:val="FF0000"/>
                <w:kern w:val="0"/>
                <w:szCs w:val="21"/>
              </w:rPr>
            </w:pPr>
            <w:r>
              <w:rPr>
                <w:rFonts w:ascii="Times New Roman" w:hAnsi="Times New Roman" w:eastAsia="仿宋_GB2312" w:cs="Times New Roman"/>
                <w:color w:val="000000"/>
                <w:kern w:val="0"/>
              </w:rPr>
              <w:t>用于对当事人未来的医疗、特别是生命末期等安排，非遗嘱公证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62" w:hRule="atLeast"/>
          <w:jc w:val="center"/>
        </w:trPr>
        <w:tc>
          <w:tcPr>
            <w:tcW w:w="2835"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rPr>
              <w:t>7</w:t>
            </w:r>
            <w:r>
              <w:rPr>
                <w:rFonts w:ascii="Times New Roman" w:hAnsi="Times New Roman" w:eastAsia="仿宋_GB2312" w:cs="Times New Roman"/>
                <w:color w:val="000000"/>
                <w:kern w:val="0"/>
              </w:rPr>
              <w:t>.开启（宣读）遗嘱</w:t>
            </w:r>
          </w:p>
        </w:tc>
        <w:tc>
          <w:tcPr>
            <w:tcW w:w="3118" w:type="dxa"/>
            <w:tcBorders>
              <w:top w:val="single" w:color="000000" w:sz="4" w:space="0"/>
              <w:left w:val="nil"/>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rPr>
              <w:t>每件收费2000元起。</w:t>
            </w:r>
          </w:p>
        </w:tc>
        <w:tc>
          <w:tcPr>
            <w:tcW w:w="2835" w:type="dxa"/>
            <w:tcBorders>
              <w:top w:val="single" w:color="000000" w:sz="4" w:space="0"/>
              <w:left w:val="nil"/>
              <w:bottom w:val="single" w:color="000000" w:sz="4" w:space="0"/>
              <w:right w:val="single" w:color="000000" w:sz="4" w:space="0"/>
            </w:tcBorders>
            <w:noWrap/>
            <w:vAlign w:val="center"/>
          </w:tcPr>
          <w:p>
            <w:pPr>
              <w:widowControl/>
              <w:spacing w:line="240" w:lineRule="exact"/>
              <w:textAlignment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rPr>
              <w:t>召集所有继承人启封密封保管的遗嘱，宣读遗嘱的内容。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421" w:hRule="atLeast"/>
          <w:jc w:val="center"/>
        </w:trPr>
        <w:tc>
          <w:tcPr>
            <w:tcW w:w="2835"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kern w:val="0"/>
                <w:szCs w:val="21"/>
              </w:rPr>
            </w:pPr>
            <w:r>
              <w:rPr>
                <w:rFonts w:hint="eastAsia" w:ascii="Times New Roman" w:hAnsi="Times New Roman" w:eastAsia="仿宋_GB2312" w:cs="Times New Roman"/>
                <w:kern w:val="0"/>
              </w:rPr>
              <w:t>8</w:t>
            </w:r>
            <w:r>
              <w:rPr>
                <w:rFonts w:ascii="Times New Roman" w:hAnsi="Times New Roman" w:eastAsia="仿宋_GB2312" w:cs="Times New Roman"/>
                <w:kern w:val="0"/>
              </w:rPr>
              <w:t>.遗嘱检认</w:t>
            </w:r>
          </w:p>
        </w:tc>
        <w:tc>
          <w:tcPr>
            <w:tcW w:w="3118" w:type="dxa"/>
            <w:tcBorders>
              <w:top w:val="single" w:color="000000" w:sz="4" w:space="0"/>
              <w:left w:val="nil"/>
              <w:bottom w:val="single" w:color="000000" w:sz="4" w:space="0"/>
              <w:right w:val="single" w:color="000000" w:sz="4" w:space="0"/>
            </w:tcBorders>
            <w:noWrap/>
            <w:vAlign w:val="center"/>
          </w:tcPr>
          <w:p>
            <w:pPr>
              <w:widowControl/>
              <w:spacing w:line="240" w:lineRule="exact"/>
              <w:textAlignment w:val="center"/>
              <w:rPr>
                <w:rFonts w:ascii="Times New Roman" w:hAnsi="Times New Roman" w:eastAsia="仿宋_GB2312" w:cs="Times New Roman"/>
                <w:kern w:val="0"/>
                <w:szCs w:val="21"/>
              </w:rPr>
            </w:pPr>
            <w:r>
              <w:rPr>
                <w:rFonts w:ascii="Times New Roman" w:hAnsi="Times New Roman" w:eastAsia="仿宋_GB2312" w:cs="Times New Roman"/>
                <w:kern w:val="0"/>
              </w:rPr>
              <w:t>不涉及财产的，每件收费5000元；涉及财产的，根据标的额大小超额累退计费：不超过200万元的部分，按1.0%收取；超过200万元至500万元的部分，按0.7%收取；超过500万元至1000万元的部分，按0.5%收取；超过1000万元的部分，按0.2%收取；最低5000元。</w:t>
            </w:r>
          </w:p>
        </w:tc>
        <w:tc>
          <w:tcPr>
            <w:tcW w:w="2835" w:type="dxa"/>
            <w:tcBorders>
              <w:top w:val="single" w:color="000000" w:sz="4" w:space="0"/>
              <w:left w:val="nil"/>
              <w:bottom w:val="single" w:color="000000" w:sz="4" w:space="0"/>
              <w:right w:val="single" w:color="000000" w:sz="4" w:space="0"/>
            </w:tcBorders>
            <w:noWrap/>
            <w:vAlign w:val="center"/>
          </w:tcPr>
          <w:p>
            <w:pPr>
              <w:widowControl/>
              <w:spacing w:line="240" w:lineRule="exact"/>
              <w:textAlignment w:val="center"/>
              <w:rPr>
                <w:rFonts w:ascii="Times New Roman" w:hAnsi="Times New Roman" w:eastAsia="仿宋_GB2312" w:cs="Times New Roman"/>
                <w:kern w:val="0"/>
                <w:szCs w:val="21"/>
              </w:rPr>
            </w:pPr>
            <w:r>
              <w:rPr>
                <w:rFonts w:ascii="Times New Roman" w:hAnsi="Times New Roman" w:eastAsia="仿宋_GB2312" w:cs="Times New Roman"/>
                <w:kern w:val="0"/>
              </w:rPr>
              <w:t>依据</w:t>
            </w:r>
            <w:r>
              <w:rPr>
                <w:rFonts w:hint="eastAsia" w:ascii="Times New Roman" w:hAnsi="Times New Roman" w:eastAsia="仿宋_GB2312" w:cs="Times New Roman"/>
                <w:kern w:val="0"/>
              </w:rPr>
              <w:t>中华人民共和国</w:t>
            </w:r>
            <w:r>
              <w:rPr>
                <w:rFonts w:ascii="Times New Roman" w:hAnsi="Times New Roman" w:eastAsia="仿宋_GB2312" w:cs="Times New Roman"/>
                <w:kern w:val="0"/>
              </w:rPr>
              <w:t>《民法典》、</w:t>
            </w:r>
            <w:r>
              <w:rPr>
                <w:rFonts w:hint="eastAsia" w:ascii="Times New Roman" w:hAnsi="Times New Roman" w:eastAsia="仿宋_GB2312" w:cs="Times New Roman"/>
                <w:kern w:val="0"/>
              </w:rPr>
              <w:t>《涉外民事关系法律适用法》、</w:t>
            </w:r>
            <w:r>
              <w:rPr>
                <w:rFonts w:ascii="Times New Roman" w:hAnsi="Times New Roman" w:eastAsia="仿宋_GB2312" w:cs="Times New Roman"/>
                <w:kern w:val="0"/>
              </w:rPr>
              <w:t>《公证法》、《公证程序规则》、《遗嘱公证细则》等规定，结合证据材料的调查、核实以及相关人员的询问情况，审查遗嘱的形式要件和实质要件，确认遗嘱的效力。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830" w:hRule="atLeast"/>
          <w:jc w:val="center"/>
        </w:trPr>
        <w:tc>
          <w:tcPr>
            <w:tcW w:w="2835"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rPr>
              <w:t>9</w:t>
            </w:r>
            <w:r>
              <w:rPr>
                <w:rFonts w:ascii="Times New Roman" w:hAnsi="Times New Roman" w:eastAsia="仿宋_GB2312" w:cs="Times New Roman"/>
                <w:color w:val="000000"/>
                <w:kern w:val="0"/>
              </w:rPr>
              <w:t>.保管文书（含遗嘱）等</w:t>
            </w:r>
          </w:p>
        </w:tc>
        <w:tc>
          <w:tcPr>
            <w:tcW w:w="3118" w:type="dxa"/>
            <w:tcBorders>
              <w:top w:val="single" w:color="000000" w:sz="4" w:space="0"/>
              <w:left w:val="nil"/>
              <w:bottom w:val="single" w:color="000000" w:sz="4" w:space="0"/>
              <w:right w:val="single" w:color="000000" w:sz="4" w:space="0"/>
            </w:tcBorders>
            <w:noWrap/>
            <w:vAlign w:val="center"/>
          </w:tcPr>
          <w:p>
            <w:pPr>
              <w:widowControl/>
              <w:spacing w:line="240" w:lineRule="exact"/>
              <w:textAlignment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rPr>
              <w:t>自然人申请的，每件收费200元/年；法人或其他组织申请的，每件收费500元/年；不足一年的，按一年收取。保管期限明确的，可一次性收取，或者每年收取一次；保管期限不明确的，可一次性预收五年，多退少补。</w:t>
            </w:r>
          </w:p>
        </w:tc>
        <w:tc>
          <w:tcPr>
            <w:tcW w:w="2835" w:type="dxa"/>
            <w:tcBorders>
              <w:top w:val="single" w:color="000000" w:sz="4" w:space="0"/>
              <w:left w:val="nil"/>
              <w:bottom w:val="single" w:color="000000" w:sz="4" w:space="0"/>
              <w:right w:val="single" w:color="000000" w:sz="4" w:space="0"/>
            </w:tcBorders>
            <w:noWrap/>
            <w:vAlign w:val="top"/>
          </w:tcPr>
          <w:p>
            <w:pPr>
              <w:widowControl/>
              <w:spacing w:line="240" w:lineRule="exact"/>
              <w:jc w:val="left"/>
              <w:textAlignment w:val="center"/>
              <w:rPr>
                <w:rFonts w:ascii="Times New Roman" w:hAnsi="Times New Roman" w:eastAsia="仿宋_GB2312" w:cs="Times New Roman"/>
                <w:color w:val="00000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19" w:hRule="atLeast"/>
          <w:jc w:val="center"/>
        </w:trPr>
        <w:tc>
          <w:tcPr>
            <w:tcW w:w="2835"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rPr>
              <w:t>10</w:t>
            </w:r>
            <w:r>
              <w:rPr>
                <w:rFonts w:ascii="Times New Roman" w:hAnsi="Times New Roman" w:eastAsia="仿宋_GB2312" w:cs="Times New Roman"/>
                <w:color w:val="000000"/>
                <w:kern w:val="0"/>
              </w:rPr>
              <w:t>.办理电子存证业务</w:t>
            </w:r>
          </w:p>
        </w:tc>
        <w:tc>
          <w:tcPr>
            <w:tcW w:w="3118" w:type="dxa"/>
            <w:tcBorders>
              <w:top w:val="single" w:color="000000" w:sz="4" w:space="0"/>
              <w:left w:val="nil"/>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rPr>
              <w:t>根据存储数据大小、存储时间，存储平台硬件设施、运行安保维护成本，公证人员工作量等因素，协商收取，每条信息2元/年起，每帧图片3元/年起。</w:t>
            </w:r>
          </w:p>
        </w:tc>
        <w:tc>
          <w:tcPr>
            <w:tcW w:w="2835" w:type="dxa"/>
            <w:tcBorders>
              <w:top w:val="single" w:color="000000" w:sz="4" w:space="0"/>
              <w:left w:val="nil"/>
              <w:bottom w:val="single" w:color="000000" w:sz="4" w:space="0"/>
              <w:right w:val="single" w:color="000000" w:sz="4" w:space="0"/>
            </w:tcBorders>
            <w:noWrap/>
            <w:vAlign w:val="top"/>
          </w:tcPr>
          <w:p>
            <w:pPr>
              <w:widowControl/>
              <w:spacing w:line="240" w:lineRule="exact"/>
              <w:jc w:val="left"/>
              <w:textAlignment w:val="center"/>
              <w:rPr>
                <w:rFonts w:ascii="Times New Roman" w:hAnsi="Times New Roman" w:eastAsia="仿宋_GB2312" w:cs="Times New Roman"/>
                <w:color w:val="00000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19" w:hRule="atLeast"/>
          <w:jc w:val="center"/>
        </w:trPr>
        <w:tc>
          <w:tcPr>
            <w:tcW w:w="2835"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kern w:val="0"/>
              </w:rPr>
            </w:pPr>
            <w:r>
              <w:rPr>
                <w:rFonts w:ascii="Times New Roman" w:hAnsi="Times New Roman" w:eastAsia="仿宋_GB2312" w:cs="Times New Roman"/>
                <w:kern w:val="0"/>
              </w:rPr>
              <w:t>1</w:t>
            </w:r>
            <w:r>
              <w:rPr>
                <w:rFonts w:hint="eastAsia" w:ascii="Times New Roman" w:hAnsi="Times New Roman" w:eastAsia="仿宋_GB2312" w:cs="Times New Roman"/>
                <w:kern w:val="0"/>
              </w:rPr>
              <w:t>1</w:t>
            </w:r>
            <w:r>
              <w:rPr>
                <w:rFonts w:ascii="Times New Roman" w:hAnsi="Times New Roman" w:eastAsia="仿宋_GB2312" w:cs="Times New Roman"/>
                <w:kern w:val="0"/>
              </w:rPr>
              <w:t>.电子密钥制取及分发，提供电子签名验签服务</w:t>
            </w:r>
          </w:p>
        </w:tc>
        <w:tc>
          <w:tcPr>
            <w:tcW w:w="3118" w:type="dxa"/>
            <w:tcBorders>
              <w:top w:val="single" w:color="000000" w:sz="4" w:space="0"/>
              <w:left w:val="nil"/>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kern w:val="0"/>
              </w:rPr>
            </w:pPr>
            <w:r>
              <w:rPr>
                <w:rFonts w:ascii="Times New Roman" w:hAnsi="Times New Roman" w:eastAsia="仿宋_GB2312" w:cs="Times New Roman"/>
                <w:kern w:val="0"/>
              </w:rPr>
              <w:t>每对1000元起</w:t>
            </w:r>
          </w:p>
        </w:tc>
        <w:tc>
          <w:tcPr>
            <w:tcW w:w="2835" w:type="dxa"/>
            <w:tcBorders>
              <w:top w:val="single" w:color="000000" w:sz="4" w:space="0"/>
              <w:left w:val="nil"/>
              <w:bottom w:val="single" w:color="000000" w:sz="4" w:space="0"/>
              <w:right w:val="single" w:color="000000" w:sz="4" w:space="0"/>
            </w:tcBorders>
            <w:noWrap/>
            <w:vAlign w:val="top"/>
          </w:tcPr>
          <w:p>
            <w:pPr>
              <w:widowControl/>
              <w:spacing w:line="240" w:lineRule="exact"/>
              <w:jc w:val="left"/>
              <w:textAlignment w:val="center"/>
              <w:rPr>
                <w:rFonts w:ascii="Times New Roman" w:hAnsi="Times New Roman" w:eastAsia="仿宋_GB2312" w:cs="Times New Roman"/>
                <w:kern w:val="0"/>
                <w:szCs w:val="21"/>
              </w:rPr>
            </w:pPr>
          </w:p>
          <w:p>
            <w:pPr>
              <w:widowControl/>
              <w:spacing w:line="240" w:lineRule="exact"/>
              <w:jc w:val="left"/>
              <w:textAlignment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根据制取和分发难度、要求、数量协商收费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405" w:hRule="atLeast"/>
          <w:jc w:val="center"/>
        </w:trPr>
        <w:tc>
          <w:tcPr>
            <w:tcW w:w="2835"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rPr>
              <w:t>1</w:t>
            </w:r>
            <w:r>
              <w:rPr>
                <w:rFonts w:hint="eastAsia" w:ascii="Times New Roman" w:hAnsi="Times New Roman" w:eastAsia="仿宋_GB2312" w:cs="Times New Roman"/>
                <w:color w:val="000000"/>
                <w:kern w:val="0"/>
              </w:rPr>
              <w:t>2</w:t>
            </w:r>
            <w:r>
              <w:rPr>
                <w:rFonts w:ascii="Times New Roman" w:hAnsi="Times New Roman" w:eastAsia="仿宋_GB2312" w:cs="Times New Roman"/>
                <w:color w:val="000000"/>
                <w:kern w:val="0"/>
              </w:rPr>
              <w:t>.代拟、修改法律文书</w:t>
            </w:r>
          </w:p>
        </w:tc>
        <w:tc>
          <w:tcPr>
            <w:tcW w:w="3118" w:type="dxa"/>
            <w:tcBorders>
              <w:top w:val="single" w:color="000000" w:sz="4" w:space="0"/>
              <w:left w:val="nil"/>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rPr>
              <w:t>委托、声明等单方行为的简易法律文书，每件收费100元起；不涉及财产关系的且代书内容较为简单的合同（协议），每件收费300元起；较为复杂的合同（协议）等法律文书，每件收费500元起；公司章程等其他法律文书，每件收费3000元起。</w:t>
            </w:r>
          </w:p>
        </w:tc>
        <w:tc>
          <w:tcPr>
            <w:tcW w:w="2835" w:type="dxa"/>
            <w:tcBorders>
              <w:top w:val="single" w:color="000000" w:sz="4" w:space="0"/>
              <w:left w:val="nil"/>
              <w:bottom w:val="single" w:color="000000" w:sz="4" w:space="0"/>
              <w:right w:val="single" w:color="000000" w:sz="4" w:space="0"/>
            </w:tcBorders>
            <w:noWrap/>
            <w:vAlign w:val="top"/>
          </w:tcPr>
          <w:p>
            <w:pPr>
              <w:widowControl/>
              <w:spacing w:line="240" w:lineRule="exact"/>
              <w:jc w:val="left"/>
              <w:textAlignment w:val="center"/>
              <w:rPr>
                <w:rFonts w:ascii="Times New Roman" w:hAnsi="Times New Roman" w:eastAsia="仿宋_GB2312" w:cs="Times New Roman"/>
                <w:color w:val="00000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28" w:hRule="atLeast"/>
          <w:jc w:val="center"/>
        </w:trPr>
        <w:tc>
          <w:tcPr>
            <w:tcW w:w="2835"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rPr>
              <w:t>1</w:t>
            </w:r>
            <w:r>
              <w:rPr>
                <w:rFonts w:hint="eastAsia" w:ascii="Times New Roman" w:hAnsi="Times New Roman" w:eastAsia="仿宋_GB2312" w:cs="Times New Roman"/>
                <w:color w:val="000000"/>
                <w:kern w:val="0"/>
              </w:rPr>
              <w:t>3</w:t>
            </w:r>
            <w:r>
              <w:rPr>
                <w:rFonts w:ascii="Times New Roman" w:hAnsi="Times New Roman" w:eastAsia="仿宋_GB2312" w:cs="Times New Roman"/>
                <w:color w:val="000000"/>
                <w:kern w:val="0"/>
              </w:rPr>
              <w:t>.出具法律意见书</w:t>
            </w:r>
          </w:p>
        </w:tc>
        <w:tc>
          <w:tcPr>
            <w:tcW w:w="3118" w:type="dxa"/>
            <w:tcBorders>
              <w:top w:val="single" w:color="000000" w:sz="4" w:space="0"/>
              <w:left w:val="nil"/>
              <w:bottom w:val="single" w:color="000000" w:sz="4" w:space="0"/>
              <w:right w:val="single" w:color="000000" w:sz="4" w:space="0"/>
            </w:tcBorders>
            <w:noWrap/>
            <w:vAlign w:val="center"/>
          </w:tcPr>
          <w:p>
            <w:pPr>
              <w:widowControl/>
              <w:spacing w:line="240" w:lineRule="exact"/>
              <w:textAlignment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rPr>
              <w:t>不涉及财产的，每件收费5000元起；涉及财产的，按标的额收取1.5%（按比例收费不到5000元按5000元计）。</w:t>
            </w:r>
          </w:p>
        </w:tc>
        <w:tc>
          <w:tcPr>
            <w:tcW w:w="2835" w:type="dxa"/>
            <w:tcBorders>
              <w:top w:val="single" w:color="000000" w:sz="4" w:space="0"/>
              <w:left w:val="nil"/>
              <w:bottom w:val="single" w:color="000000" w:sz="4" w:space="0"/>
              <w:right w:val="single" w:color="000000" w:sz="4" w:space="0"/>
            </w:tcBorders>
            <w:noWrap/>
            <w:vAlign w:val="top"/>
          </w:tcPr>
          <w:p>
            <w:pPr>
              <w:widowControl/>
              <w:spacing w:line="240" w:lineRule="exact"/>
              <w:jc w:val="left"/>
              <w:textAlignment w:val="center"/>
              <w:rPr>
                <w:rFonts w:ascii="Times New Roman" w:hAnsi="Times New Roman" w:eastAsia="仿宋_GB2312" w:cs="Times New Roman"/>
                <w:color w:val="00000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05" w:hRule="atLeast"/>
          <w:jc w:val="center"/>
        </w:trPr>
        <w:tc>
          <w:tcPr>
            <w:tcW w:w="2835"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rPr>
              <w:t>1</w:t>
            </w:r>
            <w:r>
              <w:rPr>
                <w:rFonts w:hint="eastAsia" w:ascii="Times New Roman" w:hAnsi="Times New Roman" w:eastAsia="仿宋_GB2312" w:cs="Times New Roman"/>
                <w:color w:val="000000"/>
                <w:kern w:val="0"/>
              </w:rPr>
              <w:t>4</w:t>
            </w:r>
            <w:r>
              <w:rPr>
                <w:rFonts w:ascii="Times New Roman" w:hAnsi="Times New Roman" w:eastAsia="仿宋_GB2312" w:cs="Times New Roman"/>
                <w:color w:val="000000"/>
                <w:kern w:val="0"/>
              </w:rPr>
              <w:t>.调解、咨询</w:t>
            </w:r>
          </w:p>
        </w:tc>
        <w:tc>
          <w:tcPr>
            <w:tcW w:w="3118" w:type="dxa"/>
            <w:tcBorders>
              <w:top w:val="single" w:color="000000" w:sz="4" w:space="0"/>
              <w:left w:val="nil"/>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rPr>
              <w:t>根据难易程度、耗费时间长短等因素，协商收取。</w:t>
            </w:r>
          </w:p>
        </w:tc>
        <w:tc>
          <w:tcPr>
            <w:tcW w:w="2835" w:type="dxa"/>
            <w:tcBorders>
              <w:top w:val="single" w:color="000000" w:sz="4" w:space="0"/>
              <w:left w:val="nil"/>
              <w:bottom w:val="single" w:color="000000" w:sz="4" w:space="0"/>
              <w:right w:val="single" w:color="000000" w:sz="4" w:space="0"/>
            </w:tcBorders>
            <w:noWrap/>
            <w:vAlign w:val="top"/>
          </w:tcPr>
          <w:p>
            <w:pPr>
              <w:widowControl/>
              <w:spacing w:line="240" w:lineRule="exact"/>
              <w:jc w:val="left"/>
              <w:textAlignment w:val="center"/>
              <w:rPr>
                <w:rFonts w:ascii="Times New Roman" w:hAnsi="Times New Roman" w:eastAsia="仿宋_GB2312" w:cs="Times New Roman"/>
                <w:color w:val="000000"/>
                <w:kern w:val="0"/>
                <w:szCs w:val="21"/>
              </w:rPr>
            </w:pPr>
          </w:p>
          <w:p>
            <w:pPr>
              <w:widowControl/>
              <w:spacing w:line="240" w:lineRule="exact"/>
              <w:jc w:val="left"/>
              <w:textAlignment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rPr>
              <w:t>简单的口头咨询免费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12" w:hRule="atLeast"/>
          <w:jc w:val="center"/>
        </w:trPr>
        <w:tc>
          <w:tcPr>
            <w:tcW w:w="2835"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rPr>
              <w:t>1</w:t>
            </w:r>
            <w:r>
              <w:rPr>
                <w:rFonts w:hint="eastAsia" w:ascii="Times New Roman" w:hAnsi="Times New Roman" w:eastAsia="仿宋_GB2312" w:cs="Times New Roman"/>
                <w:color w:val="000000"/>
                <w:kern w:val="0"/>
              </w:rPr>
              <w:t>5</w:t>
            </w:r>
            <w:r>
              <w:rPr>
                <w:rFonts w:ascii="Times New Roman" w:hAnsi="Times New Roman" w:eastAsia="仿宋_GB2312" w:cs="Times New Roman"/>
                <w:color w:val="000000"/>
                <w:kern w:val="0"/>
              </w:rPr>
              <w:t>.公证顾问</w:t>
            </w:r>
          </w:p>
        </w:tc>
        <w:tc>
          <w:tcPr>
            <w:tcW w:w="3118" w:type="dxa"/>
            <w:tcBorders>
              <w:top w:val="single" w:color="000000" w:sz="4" w:space="0"/>
              <w:left w:val="nil"/>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rPr>
              <w:t>根据公证服务事务的复杂难易程度、耗费时间长短等因素协商确定，每家顾问单位10000元/年起。</w:t>
            </w:r>
          </w:p>
        </w:tc>
        <w:tc>
          <w:tcPr>
            <w:tcW w:w="2835" w:type="dxa"/>
            <w:tcBorders>
              <w:top w:val="single" w:color="000000" w:sz="4" w:space="0"/>
              <w:left w:val="nil"/>
              <w:bottom w:val="single" w:color="000000" w:sz="4" w:space="0"/>
              <w:right w:val="single" w:color="000000" w:sz="4" w:space="0"/>
            </w:tcBorders>
            <w:noWrap/>
            <w:vAlign w:val="top"/>
          </w:tcPr>
          <w:p>
            <w:pPr>
              <w:widowControl/>
              <w:spacing w:line="240" w:lineRule="exact"/>
              <w:jc w:val="left"/>
              <w:textAlignment w:val="center"/>
              <w:rPr>
                <w:rFonts w:ascii="Times New Roman" w:hAnsi="Times New Roman" w:eastAsia="仿宋_GB2312" w:cs="Times New Roman"/>
                <w:color w:val="00000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5" w:hRule="atLeast"/>
          <w:jc w:val="center"/>
        </w:trPr>
        <w:tc>
          <w:tcPr>
            <w:tcW w:w="2835"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rPr>
              <w:t>1</w:t>
            </w:r>
            <w:r>
              <w:rPr>
                <w:rFonts w:hint="eastAsia" w:ascii="Times New Roman" w:hAnsi="Times New Roman" w:eastAsia="仿宋_GB2312" w:cs="Times New Roman"/>
                <w:color w:val="000000"/>
                <w:kern w:val="0"/>
              </w:rPr>
              <w:t>6</w:t>
            </w:r>
            <w:r>
              <w:rPr>
                <w:rFonts w:ascii="Times New Roman" w:hAnsi="Times New Roman" w:eastAsia="仿宋_GB2312" w:cs="Times New Roman"/>
                <w:color w:val="000000"/>
                <w:kern w:val="0"/>
              </w:rPr>
              <w:t>.代办登记、认证事务</w:t>
            </w:r>
          </w:p>
        </w:tc>
        <w:tc>
          <w:tcPr>
            <w:tcW w:w="3118" w:type="dxa"/>
            <w:tcBorders>
              <w:top w:val="single" w:color="000000" w:sz="4" w:space="0"/>
              <w:left w:val="nil"/>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rPr>
              <w:t>每件收费100元。</w:t>
            </w:r>
          </w:p>
        </w:tc>
        <w:tc>
          <w:tcPr>
            <w:tcW w:w="2835" w:type="dxa"/>
            <w:tcBorders>
              <w:top w:val="single" w:color="000000" w:sz="4" w:space="0"/>
              <w:left w:val="nil"/>
              <w:bottom w:val="single" w:color="000000" w:sz="4" w:space="0"/>
              <w:right w:val="single" w:color="000000" w:sz="4" w:space="0"/>
            </w:tcBorders>
            <w:noWrap/>
            <w:vAlign w:val="center"/>
          </w:tcPr>
          <w:p>
            <w:pPr>
              <w:widowControl/>
              <w:spacing w:line="240" w:lineRule="exact"/>
              <w:textAlignment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rPr>
              <w:t>案情复杂或需要多名公证人员参与的，协商确定。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96" w:hRule="atLeast"/>
          <w:jc w:val="center"/>
        </w:trPr>
        <w:tc>
          <w:tcPr>
            <w:tcW w:w="2835"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rPr>
              <w:t>1</w:t>
            </w:r>
            <w:r>
              <w:rPr>
                <w:rFonts w:hint="eastAsia" w:ascii="Times New Roman" w:hAnsi="Times New Roman" w:eastAsia="仿宋_GB2312" w:cs="Times New Roman"/>
                <w:color w:val="000000"/>
                <w:kern w:val="0"/>
              </w:rPr>
              <w:t>7</w:t>
            </w:r>
            <w:r>
              <w:rPr>
                <w:rFonts w:ascii="Times New Roman" w:hAnsi="Times New Roman" w:eastAsia="仿宋_GB2312" w:cs="Times New Roman"/>
                <w:color w:val="000000"/>
                <w:kern w:val="0"/>
              </w:rPr>
              <w:t>.办理贷前调查等调查类法律服务的</w:t>
            </w:r>
          </w:p>
        </w:tc>
        <w:tc>
          <w:tcPr>
            <w:tcW w:w="3118" w:type="dxa"/>
            <w:tcBorders>
              <w:top w:val="single" w:color="000000" w:sz="4" w:space="0"/>
              <w:left w:val="nil"/>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rPr>
              <w:t>根据难易程度、耗费时间长短等因素，协商收取，1000元/次起。</w:t>
            </w:r>
          </w:p>
        </w:tc>
        <w:tc>
          <w:tcPr>
            <w:tcW w:w="2835" w:type="dxa"/>
            <w:tcBorders>
              <w:top w:val="single" w:color="000000" w:sz="4" w:space="0"/>
              <w:left w:val="nil"/>
              <w:bottom w:val="single" w:color="000000" w:sz="4" w:space="0"/>
              <w:right w:val="single" w:color="000000" w:sz="4" w:space="0"/>
            </w:tcBorders>
            <w:noWrap/>
            <w:vAlign w:val="top"/>
          </w:tcPr>
          <w:p>
            <w:pPr>
              <w:widowControl/>
              <w:spacing w:line="240" w:lineRule="exact"/>
              <w:jc w:val="left"/>
              <w:textAlignment w:val="center"/>
              <w:rPr>
                <w:rFonts w:ascii="Times New Roman" w:hAnsi="Times New Roman" w:eastAsia="仿宋_GB2312" w:cs="Times New Roman"/>
                <w:color w:val="00000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51" w:hRule="atLeast"/>
          <w:jc w:val="center"/>
        </w:trPr>
        <w:tc>
          <w:tcPr>
            <w:tcW w:w="2835"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rPr>
              <w:t>1</w:t>
            </w:r>
            <w:r>
              <w:rPr>
                <w:rFonts w:hint="eastAsia" w:ascii="Times New Roman" w:hAnsi="Times New Roman" w:eastAsia="仿宋_GB2312" w:cs="Times New Roman"/>
                <w:color w:val="000000"/>
                <w:kern w:val="0"/>
              </w:rPr>
              <w:t>8</w:t>
            </w:r>
            <w:r>
              <w:rPr>
                <w:rFonts w:ascii="Times New Roman" w:hAnsi="Times New Roman" w:eastAsia="仿宋_GB2312" w:cs="Times New Roman"/>
                <w:color w:val="000000"/>
                <w:kern w:val="0"/>
              </w:rPr>
              <w:t>.通过意定监护文书确定监护人、确定遗产管理人、确定破产管理人公证</w:t>
            </w:r>
          </w:p>
        </w:tc>
        <w:tc>
          <w:tcPr>
            <w:tcW w:w="3118" w:type="dxa"/>
            <w:tcBorders>
              <w:top w:val="single" w:color="000000" w:sz="4" w:space="0"/>
              <w:left w:val="nil"/>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rPr>
              <w:t>根据难易程度、耗费时间长短等因素，协商收取。</w:t>
            </w:r>
          </w:p>
        </w:tc>
        <w:tc>
          <w:tcPr>
            <w:tcW w:w="2835" w:type="dxa"/>
            <w:tcBorders>
              <w:top w:val="single" w:color="000000" w:sz="4" w:space="0"/>
              <w:left w:val="nil"/>
              <w:bottom w:val="single" w:color="000000" w:sz="4" w:space="0"/>
              <w:right w:val="single" w:color="000000" w:sz="4" w:space="0"/>
            </w:tcBorders>
            <w:noWrap/>
            <w:vAlign w:val="top"/>
          </w:tcPr>
          <w:p>
            <w:pPr>
              <w:widowControl/>
              <w:spacing w:line="240" w:lineRule="exact"/>
              <w:jc w:val="left"/>
              <w:textAlignment w:val="center"/>
              <w:rPr>
                <w:rFonts w:ascii="Times New Roman" w:hAnsi="Times New Roman" w:eastAsia="仿宋_GB2312" w:cs="Times New Roman"/>
                <w:color w:val="00000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78" w:hRule="atLeast"/>
          <w:jc w:val="center"/>
        </w:trPr>
        <w:tc>
          <w:tcPr>
            <w:tcW w:w="2835"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rPr>
              <w:t>19</w:t>
            </w:r>
            <w:r>
              <w:rPr>
                <w:rFonts w:ascii="Times New Roman" w:hAnsi="Times New Roman" w:eastAsia="仿宋_GB2312" w:cs="Times New Roman"/>
                <w:color w:val="000000"/>
                <w:kern w:val="0"/>
              </w:rPr>
              <w:t>.担任监护人、遗嘱执行人、遗产管理人、破产管理人等</w:t>
            </w:r>
          </w:p>
        </w:tc>
        <w:tc>
          <w:tcPr>
            <w:tcW w:w="3118" w:type="dxa"/>
            <w:tcBorders>
              <w:top w:val="single" w:color="000000" w:sz="4" w:space="0"/>
              <w:left w:val="nil"/>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rPr>
              <w:t>根据难易程度、耗费时间长短等因素，协商收取。</w:t>
            </w:r>
          </w:p>
        </w:tc>
        <w:tc>
          <w:tcPr>
            <w:tcW w:w="2835" w:type="dxa"/>
            <w:tcBorders>
              <w:top w:val="single" w:color="000000" w:sz="4" w:space="0"/>
              <w:left w:val="nil"/>
              <w:bottom w:val="single" w:color="000000" w:sz="4" w:space="0"/>
              <w:right w:val="single" w:color="000000" w:sz="4" w:space="0"/>
            </w:tcBorders>
            <w:noWrap/>
            <w:vAlign w:val="top"/>
          </w:tcPr>
          <w:p>
            <w:pPr>
              <w:widowControl/>
              <w:spacing w:line="240" w:lineRule="exact"/>
              <w:jc w:val="left"/>
              <w:textAlignment w:val="center"/>
              <w:rPr>
                <w:rFonts w:ascii="Times New Roman" w:hAnsi="Times New Roman" w:eastAsia="仿宋_GB2312" w:cs="Times New Roman"/>
                <w:b/>
                <w:color w:val="00000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49" w:hRule="atLeast"/>
          <w:jc w:val="center"/>
        </w:trPr>
        <w:tc>
          <w:tcPr>
            <w:tcW w:w="2835"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rPr>
              <w:t>2</w:t>
            </w:r>
            <w:r>
              <w:rPr>
                <w:rFonts w:hint="eastAsia" w:ascii="Times New Roman" w:hAnsi="Times New Roman" w:eastAsia="仿宋_GB2312" w:cs="Times New Roman"/>
                <w:color w:val="000000"/>
                <w:kern w:val="0"/>
              </w:rPr>
              <w:t>0</w:t>
            </w:r>
            <w:r>
              <w:rPr>
                <w:rFonts w:ascii="Times New Roman" w:hAnsi="Times New Roman" w:eastAsia="仿宋_GB2312" w:cs="Times New Roman"/>
                <w:color w:val="000000"/>
                <w:kern w:val="0"/>
              </w:rPr>
              <w:t>.应当事人请求，通过在线系统远程办理法律行为类公证</w:t>
            </w:r>
          </w:p>
        </w:tc>
        <w:tc>
          <w:tcPr>
            <w:tcW w:w="3118" w:type="dxa"/>
            <w:tcBorders>
              <w:top w:val="single" w:color="000000" w:sz="4" w:space="0"/>
              <w:left w:val="nil"/>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rPr>
              <w:t>加收700元。</w:t>
            </w:r>
          </w:p>
        </w:tc>
        <w:tc>
          <w:tcPr>
            <w:tcW w:w="2835" w:type="dxa"/>
            <w:tcBorders>
              <w:top w:val="single" w:color="000000" w:sz="4" w:space="0"/>
              <w:left w:val="nil"/>
              <w:bottom w:val="single" w:color="000000" w:sz="4" w:space="0"/>
              <w:right w:val="single" w:color="000000" w:sz="4" w:space="0"/>
            </w:tcBorders>
            <w:noWrap/>
            <w:vAlign w:val="center"/>
          </w:tcPr>
          <w:p>
            <w:pPr>
              <w:widowControl/>
              <w:spacing w:line="240" w:lineRule="exact"/>
              <w:textAlignment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rPr>
              <w:t>包括前期交流咨询服务费、技术服务费、存储费、时差引发的加班费等。</w:t>
            </w:r>
          </w:p>
          <w:p>
            <w:pPr>
              <w:widowControl/>
              <w:spacing w:line="240" w:lineRule="exact"/>
              <w:textAlignment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rPr>
              <w:t>列入政府民生实事项目，在远程公证服务点申请办理的除外。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3" w:hRule="atLeast"/>
          <w:jc w:val="center"/>
        </w:trPr>
        <w:tc>
          <w:tcPr>
            <w:tcW w:w="2835"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rPr>
              <w:t>2</w:t>
            </w:r>
            <w:r>
              <w:rPr>
                <w:rFonts w:hint="eastAsia" w:ascii="Times New Roman" w:hAnsi="Times New Roman" w:eastAsia="仿宋_GB2312" w:cs="Times New Roman"/>
                <w:color w:val="000000"/>
                <w:kern w:val="0"/>
              </w:rPr>
              <w:t>1</w:t>
            </w:r>
            <w:r>
              <w:rPr>
                <w:rFonts w:ascii="Times New Roman" w:hAnsi="Times New Roman" w:eastAsia="仿宋_GB2312" w:cs="Times New Roman"/>
                <w:color w:val="000000"/>
                <w:kern w:val="0"/>
              </w:rPr>
              <w:t>.其他公证服务</w:t>
            </w:r>
          </w:p>
        </w:tc>
        <w:tc>
          <w:tcPr>
            <w:tcW w:w="3118" w:type="dxa"/>
            <w:tcBorders>
              <w:top w:val="single" w:color="000000" w:sz="4" w:space="0"/>
              <w:left w:val="nil"/>
              <w:bottom w:val="single" w:color="000000" w:sz="4" w:space="0"/>
              <w:right w:val="single" w:color="000000" w:sz="4" w:space="0"/>
            </w:tcBorders>
            <w:noWrap/>
            <w:vAlign w:val="center"/>
          </w:tcPr>
          <w:p>
            <w:pPr>
              <w:widowControl/>
              <w:spacing w:line="240" w:lineRule="exact"/>
              <w:jc w:val="left"/>
              <w:textAlignment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rPr>
              <w:t>根据难易程度、耗费时间长短等因素，协商收取。</w:t>
            </w:r>
          </w:p>
        </w:tc>
        <w:tc>
          <w:tcPr>
            <w:tcW w:w="2835" w:type="dxa"/>
            <w:tcBorders>
              <w:top w:val="single" w:color="000000" w:sz="4" w:space="0"/>
              <w:left w:val="nil"/>
              <w:bottom w:val="single" w:color="000000" w:sz="4" w:space="0"/>
              <w:right w:val="single" w:color="000000" w:sz="4" w:space="0"/>
            </w:tcBorders>
            <w:noWrap/>
            <w:vAlign w:val="top"/>
          </w:tcPr>
          <w:p>
            <w:pPr>
              <w:widowControl/>
              <w:spacing w:line="240" w:lineRule="exact"/>
              <w:jc w:val="left"/>
              <w:textAlignment w:val="center"/>
              <w:rPr>
                <w:rFonts w:ascii="Times New Roman" w:hAnsi="Times New Roman" w:eastAsia="仿宋_GB2312" w:cs="Times New Roman"/>
                <w:color w:val="000000"/>
                <w:kern w:val="0"/>
                <w:szCs w:val="21"/>
              </w:rPr>
            </w:pPr>
          </w:p>
        </w:tc>
      </w:tr>
    </w:tbl>
    <w:p>
      <w:pPr>
        <w:widowControl/>
        <w:jc w:val="center"/>
        <w:rPr>
          <w:rFonts w:ascii="Times New Roman" w:hAnsi="Times New Roman" w:eastAsia="宋体" w:cs="Times New Roman"/>
          <w:vanish/>
          <w:kern w:val="0"/>
          <w:sz w:val="24"/>
          <w:szCs w:val="24"/>
        </w:rPr>
      </w:pP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1.本标准中按提供公证服务时间计费的，公证服务的时间包括现场办理公证时间以及前期沟通、在途往返、调查核实、后期制证以及其他因办理公证所耗费的合理时间。</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2.办理公证业务过程中，根据当事人要求，发生的认证、登记、委托鉴定、检验检测、评估、</w:t>
      </w:r>
      <w:r>
        <w:rPr>
          <w:rFonts w:hint="eastAsia" w:ascii="Times New Roman" w:hAnsi="Times New Roman" w:eastAsia="仿宋_GB2312" w:cs="Times New Roman"/>
          <w:sz w:val="32"/>
          <w:szCs w:val="32"/>
        </w:rPr>
        <w:t>外国法查明、</w:t>
      </w:r>
      <w:r>
        <w:rPr>
          <w:rFonts w:ascii="Times New Roman" w:hAnsi="Times New Roman" w:eastAsia="仿宋_GB2312" w:cs="Times New Roman"/>
          <w:sz w:val="32"/>
          <w:szCs w:val="32"/>
        </w:rPr>
        <w:t>翻译、录音录像、复印、邮寄、保管、保险、查档、公告、</w:t>
      </w:r>
      <w:r>
        <w:rPr>
          <w:rFonts w:hint="eastAsia" w:ascii="Times New Roman" w:hAnsi="Times New Roman" w:eastAsia="仿宋_GB2312" w:cs="Times New Roman"/>
          <w:sz w:val="32"/>
          <w:szCs w:val="32"/>
        </w:rPr>
        <w:t>交通</w:t>
      </w:r>
      <w:r>
        <w:rPr>
          <w:rFonts w:ascii="Times New Roman" w:hAnsi="Times New Roman" w:eastAsia="仿宋_GB2312" w:cs="Times New Roman"/>
          <w:sz w:val="32"/>
          <w:szCs w:val="32"/>
        </w:rPr>
        <w:t>差旅、存储及租用设备、使用耗材等费用，不在公证服务收费范围内的，由当事人按照实际发生额另行支付。</w:t>
      </w:r>
    </w:p>
    <w:p>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.本标准中“每件”、“每份”对应的是“每一个公证案号”</w:t>
      </w:r>
      <w:r>
        <w:rPr>
          <w:rFonts w:hint="eastAsia" w:ascii="Times New Roman" w:hAnsi="Times New Roman" w:eastAsia="仿宋_GB2312" w:cs="Times New Roman"/>
          <w:sz w:val="32"/>
          <w:szCs w:val="32"/>
        </w:rPr>
        <w:t>。</w:t>
      </w:r>
    </w:p>
    <w:p>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.应当事人请求提供加急服务（不含公证机构承诺便民服务时限应当完成的），加收50%公证服务费</w:t>
      </w:r>
      <w:r>
        <w:rPr>
          <w:rFonts w:hint="eastAsia" w:ascii="Times New Roman" w:hAnsi="Times New Roman" w:eastAsia="仿宋_GB2312" w:cs="Times New Roman"/>
          <w:sz w:val="32"/>
          <w:szCs w:val="32"/>
        </w:rPr>
        <w:t>。</w:t>
      </w:r>
    </w:p>
    <w:p>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.应当事人请求提供上门服务</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根据来回在途时间（不含办证时间）确定，民事类按500元/小时计算</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商事类另行协商确定，1000元/小时起。</w:t>
      </w:r>
    </w:p>
    <w:p>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6.</w:t>
      </w:r>
      <w:r>
        <w:rPr>
          <w:rFonts w:ascii="Times New Roman" w:hAnsi="Times New Roman" w:eastAsia="仿宋_GB2312" w:cs="Times New Roman"/>
          <w:sz w:val="32"/>
          <w:szCs w:val="32"/>
        </w:rPr>
        <w:t>应当事人请求，具有高级职称的公证员办理本收费标准中公证业务的，经协商一致，可以按收费标准加收30%-50%。</w:t>
      </w:r>
    </w:p>
    <w:p>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7.</w:t>
      </w:r>
      <w:r>
        <w:rPr>
          <w:rFonts w:ascii="Times New Roman" w:hAnsi="Times New Roman" w:eastAsia="仿宋_GB2312" w:cs="Times New Roman"/>
          <w:sz w:val="32"/>
          <w:szCs w:val="32"/>
        </w:rPr>
        <w:t>与领取抚恤金、劳工赔偿金、救济金、劳动保险金等有关的公证事项，与公益活动有关的公证事项，按收费标准的80%收取公证服务费用；法律法规和国家、省、</w:t>
      </w:r>
      <w:r>
        <w:rPr>
          <w:rFonts w:hint="eastAsia" w:ascii="Times New Roman" w:hAnsi="Times New Roman" w:eastAsia="仿宋_GB2312" w:cs="Times New Roman"/>
          <w:sz w:val="32"/>
          <w:szCs w:val="32"/>
          <w:lang w:val="en-US" w:eastAsia="zh-CN"/>
        </w:rPr>
        <w:t>无锡</w:t>
      </w:r>
      <w:r>
        <w:rPr>
          <w:rFonts w:ascii="Times New Roman" w:hAnsi="Times New Roman" w:eastAsia="仿宋_GB2312" w:cs="Times New Roman"/>
          <w:sz w:val="32"/>
          <w:szCs w:val="32"/>
        </w:rPr>
        <w:t>市政策规定应当给予减免的，从其规定。</w:t>
      </w:r>
    </w:p>
    <w:p>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8</w:t>
      </w:r>
      <w:r>
        <w:rPr>
          <w:rFonts w:ascii="Times New Roman" w:hAnsi="Times New Roman" w:eastAsia="仿宋_GB2312" w:cs="Times New Roman"/>
          <w:sz w:val="32"/>
          <w:szCs w:val="32"/>
        </w:rPr>
        <w:t>.有下列情形之一的，公证处予以退费：因公证处责任不能出具公证书或者撤销公证书的；收费后未提供任何公证服务的；因公证处和当事人双方责任致公证终止，且双方协商一致的；按规定应当减免公证服务费用，但实际未减免的；当事人预付的费用超过实际产生的公证费用的。</w:t>
      </w:r>
    </w:p>
    <w:p>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9</w:t>
      </w:r>
      <w:r>
        <w:rPr>
          <w:rFonts w:ascii="Times New Roman" w:hAnsi="Times New Roman" w:eastAsia="仿宋_GB2312" w:cs="Times New Roman"/>
          <w:sz w:val="32"/>
          <w:szCs w:val="32"/>
        </w:rPr>
        <w:t>.公证处退费数额根据以下原则确定：因公证处责任导致退费，或收费后未提供任何服务的，应全额退还费用；按规定应当减免而未减免的,按照相关减免规定退还公证费。当事人预付的费用超过实际产生的公证费用的，退还多余费用。当事人提供伪证、举证不实或者其他责任导致不能出具公证书或撤销公证书的，不予退还公证费。出具公证书之前当事人主动要求撤回的，在扣除实际支出费用后，将余额退还当事人（评估、翻译、委托异地公证机构核实等费用以实际发生为准；公证处人员核实证据材料的，每项核实费用为100元；公证处人员提供代书服务且已完成的，代书费用不予退还；公证处提供上门服务的，上门费用不予退还）。</w:t>
      </w:r>
    </w:p>
    <w:p>
      <w:pPr>
        <w:adjustRightInd w:val="0"/>
        <w:snapToGrid w:val="0"/>
        <w:spacing w:line="560" w:lineRule="exact"/>
        <w:ind w:firstLine="640" w:firstLineChars="200"/>
      </w:pPr>
      <w:r>
        <w:rPr>
          <w:rFonts w:hint="eastAsia" w:ascii="Times New Roman" w:hAnsi="Times New Roman" w:eastAsia="仿宋_GB2312" w:cs="Times New Roman"/>
          <w:sz w:val="32"/>
          <w:szCs w:val="32"/>
        </w:rPr>
        <w:t>10</w:t>
      </w:r>
      <w:r>
        <w:rPr>
          <w:rFonts w:ascii="Times New Roman" w:hAnsi="Times New Roman" w:eastAsia="仿宋_GB2312" w:cs="Times New Roman"/>
          <w:sz w:val="32"/>
          <w:szCs w:val="32"/>
        </w:rPr>
        <w:t>.投诉举报电话：</w:t>
      </w:r>
      <w:r>
        <w:rPr>
          <w:rFonts w:hint="eastAsia" w:ascii="Times New Roman" w:hAnsi="Times New Roman" w:eastAsia="仿宋_GB2312" w:cs="Times New Roman"/>
          <w:sz w:val="32"/>
          <w:szCs w:val="32"/>
          <w:lang w:val="en-US" w:eastAsia="zh-CN"/>
        </w:rPr>
        <w:t>0510</w:t>
      </w:r>
      <w:r>
        <w:rPr>
          <w:rFonts w:ascii="Times New Roman" w:hAnsi="Times New Roman" w:eastAsia="仿宋_GB2312" w:cs="Times New Roman"/>
          <w:sz w:val="32"/>
          <w:szCs w:val="32"/>
        </w:rPr>
        <w:t>－12315。</w:t>
      </w:r>
    </w:p>
    <w:sectPr>
      <w:footerReference r:id="rId3" w:type="default"/>
      <w:footerReference r:id="rId4" w:type="even"/>
      <w:pgSz w:w="11906" w:h="16838"/>
      <w:pgMar w:top="1587" w:right="1644" w:bottom="1587" w:left="1644" w:header="851" w:footer="1134"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Times New Roman" w:hAnsi="Times New Roman" w:eastAsia="宋体"/>
        <w:sz w:val="24"/>
        <w:szCs w:val="24"/>
      </w:rPr>
    </w:pPr>
    <w:r>
      <w:rPr>
        <w:rFonts w:ascii="Times New Roman" w:hAnsi="Times New Roman" w:eastAsia="宋体"/>
        <w:sz w:val="24"/>
        <w:szCs w:val="24"/>
      </w:rPr>
      <w:t xml:space="preserve">— </w:t>
    </w:r>
    <w:r>
      <w:rPr>
        <w:rFonts w:ascii="Times New Roman" w:hAnsi="Times New Roman" w:eastAsia="宋体"/>
        <w:sz w:val="24"/>
        <w:szCs w:val="24"/>
      </w:rPr>
      <w:fldChar w:fldCharType="begin"/>
    </w:r>
    <w:r>
      <w:rPr>
        <w:rFonts w:ascii="Times New Roman" w:hAnsi="Times New Roman" w:eastAsia="宋体"/>
        <w:sz w:val="24"/>
        <w:szCs w:val="24"/>
      </w:rPr>
      <w:instrText xml:space="preserve"> PAGE   \* MERGEFORMAT </w:instrText>
    </w:r>
    <w:r>
      <w:rPr>
        <w:rFonts w:ascii="Times New Roman" w:hAnsi="Times New Roman" w:eastAsia="宋体"/>
        <w:sz w:val="24"/>
        <w:szCs w:val="24"/>
      </w:rPr>
      <w:fldChar w:fldCharType="separate"/>
    </w:r>
    <w:r>
      <w:rPr>
        <w:rFonts w:ascii="Times New Roman" w:hAnsi="Times New Roman" w:eastAsia="宋体"/>
        <w:sz w:val="24"/>
        <w:szCs w:val="24"/>
        <w:lang w:val="zh-CN"/>
      </w:rPr>
      <w:t>45</w:t>
    </w:r>
    <w:r>
      <w:rPr>
        <w:rFonts w:ascii="Times New Roman" w:hAnsi="Times New Roman" w:eastAsia="宋体"/>
        <w:sz w:val="24"/>
        <w:szCs w:val="24"/>
        <w:lang w:val="zh-CN"/>
      </w:rPr>
      <w:fldChar w:fldCharType="end"/>
    </w:r>
    <w:r>
      <w:rPr>
        <w:rFonts w:ascii="Times New Roman" w:hAnsi="Times New Roman" w:eastAsia="宋体"/>
        <w:sz w:val="24"/>
        <w:szCs w:val="24"/>
        <w:lang w:val="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Times New Roman" w:hAnsi="Times New Roman" w:eastAsia="宋体"/>
        <w:sz w:val="24"/>
        <w:szCs w:val="24"/>
      </w:rPr>
    </w:pPr>
    <w:r>
      <w:rPr>
        <w:rFonts w:ascii="Times New Roman" w:hAnsi="Times New Roman" w:eastAsia="宋体"/>
        <w:sz w:val="24"/>
        <w:szCs w:val="24"/>
      </w:rPr>
      <w:t xml:space="preserve">— </w:t>
    </w:r>
    <w:r>
      <w:rPr>
        <w:rFonts w:ascii="Times New Roman" w:hAnsi="Times New Roman" w:eastAsia="宋体"/>
        <w:sz w:val="24"/>
        <w:szCs w:val="24"/>
      </w:rPr>
      <w:fldChar w:fldCharType="begin"/>
    </w:r>
    <w:r>
      <w:rPr>
        <w:rFonts w:ascii="Times New Roman" w:hAnsi="Times New Roman" w:eastAsia="宋体"/>
        <w:sz w:val="24"/>
        <w:szCs w:val="24"/>
      </w:rPr>
      <w:instrText xml:space="preserve"> PAGE   \* MERGEFORMAT </w:instrText>
    </w:r>
    <w:r>
      <w:rPr>
        <w:rFonts w:ascii="Times New Roman" w:hAnsi="Times New Roman" w:eastAsia="宋体"/>
        <w:sz w:val="24"/>
        <w:szCs w:val="24"/>
      </w:rPr>
      <w:fldChar w:fldCharType="separate"/>
    </w:r>
    <w:r>
      <w:rPr>
        <w:rFonts w:ascii="Times New Roman" w:hAnsi="Times New Roman" w:eastAsia="宋体"/>
        <w:sz w:val="24"/>
        <w:szCs w:val="24"/>
        <w:lang w:val="zh-CN"/>
      </w:rPr>
      <w:t>46</w:t>
    </w:r>
    <w:r>
      <w:rPr>
        <w:rFonts w:ascii="Times New Roman" w:hAnsi="Times New Roman" w:eastAsia="宋体"/>
        <w:sz w:val="24"/>
        <w:szCs w:val="24"/>
        <w:lang w:val="zh-CN"/>
      </w:rPr>
      <w:fldChar w:fldCharType="end"/>
    </w:r>
    <w:r>
      <w:rPr>
        <w:rFonts w:ascii="Times New Roman" w:hAnsi="Times New Roman" w:eastAsia="宋体"/>
        <w:sz w:val="24"/>
        <w:szCs w:val="24"/>
        <w:lang w:val="zh-CN"/>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5ZTJkMjEyODYyNDY0ZDMzMmFmODYwZGRjNGEyZjgifQ=="/>
  </w:docVars>
  <w:rsids>
    <w:rsidRoot w:val="00000000"/>
    <w:rsid w:val="06B81E8A"/>
    <w:rsid w:val="08DE55ED"/>
    <w:rsid w:val="12895147"/>
    <w:rsid w:val="21E26489"/>
    <w:rsid w:val="36793A0B"/>
    <w:rsid w:val="537233F2"/>
    <w:rsid w:val="62571DD5"/>
    <w:rsid w:val="68CB05C8"/>
    <w:rsid w:val="6F5866E1"/>
    <w:rsid w:val="6F735BEB"/>
    <w:rsid w:val="705C4A2C"/>
    <w:rsid w:val="7A1C01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footer"/>
    <w:qFormat/>
    <w:uiPriority w:val="99"/>
    <w:pPr>
      <w:widowControl w:val="0"/>
      <w:tabs>
        <w:tab w:val="center" w:pos="4153"/>
        <w:tab w:val="right" w:pos="8306"/>
      </w:tabs>
      <w:snapToGrid w:val="0"/>
      <w:jc w:val="left"/>
    </w:pPr>
    <w:rPr>
      <w:rFonts w:ascii="Calibri" w:hAnsi="Calibri" w:eastAsia="宋体" w:cs="Times New Roman"/>
      <w:kern w:val="2"/>
      <w:sz w:val="18"/>
      <w:szCs w:val="18"/>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48</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2025-01-06T00:59:00Z</dcterms:created>
  <dc:creator>gzc002</dc:creator>
  <cp:lastModifiedBy>dell</cp:lastModifiedBy>
  <cp:lastPrinted>2026-04-29T01:24:03Z</cp:lastPrinted>
  <dcterms:modified xsi:type="dcterms:W3CDTF">2026-04-29T02:00:54Z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CD8FF1EE852F4343BD6D41F9B41E5E85_12</vt:lpwstr>
  </property>
  <property fmtid="{D5CDD505-2E9C-101B-9397-08002B2CF9AE}" pid="4" name="KSOTemplateDocerSaveRecord">
    <vt:lpwstr>eyJoZGlkIjoiZjQwMDYyYjgxOTIyMDIxMWU1NDY2ZTUzMGQwMjAyZDQiLCJ1c2VySWQiOiIxNDg0NTgwNDU3In0=</vt:lpwstr>
  </property>
</Properties>
</file>