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C9903">
      <w:pPr>
        <w:spacing w:line="560" w:lineRule="exact"/>
        <w:ind w:left="0" w:leftChars="0" w:right="-389" w:rightChars="-139" w:firstLine="0" w:firstLineChars="0"/>
        <w:jc w:val="center"/>
        <w:rPr>
          <w:rFonts w:hint="eastAsia"/>
          <w:sz w:val="32"/>
          <w:szCs w:val="32"/>
        </w:rPr>
      </w:pPr>
      <w:r>
        <w:rPr>
          <w:rFonts w:hint="eastAsia"/>
          <w:sz w:val="32"/>
          <w:szCs w:val="32"/>
          <w:shd w:val="clear" w:color="auto" w:fill="auto"/>
        </w:rPr>
        <w:t>宜兴市第二人民医院(宜兴市职业病防治院)丁蜀镇公园路247号</w:t>
      </w:r>
      <w:r>
        <w:rPr>
          <w:rFonts w:hint="eastAsia"/>
          <w:sz w:val="32"/>
          <w:szCs w:val="32"/>
          <w:shd w:val="clear" w:color="auto" w:fill="auto"/>
          <w:lang w:val="en-US" w:eastAsia="zh-CN"/>
        </w:rPr>
        <w:t>部分房产</w:t>
      </w:r>
      <w:r>
        <w:rPr>
          <w:rFonts w:hint="eastAsia"/>
          <w:sz w:val="32"/>
          <w:szCs w:val="32"/>
          <w:shd w:val="clear" w:color="auto" w:fill="auto"/>
        </w:rPr>
        <w:t>的租赁权</w:t>
      </w:r>
    </w:p>
    <w:p w14:paraId="487A48B2">
      <w:pPr>
        <w:ind w:firstLine="2880" w:firstLineChars="900"/>
        <w:rPr>
          <w:rFonts w:hint="eastAsia"/>
          <w:sz w:val="32"/>
          <w:szCs w:val="32"/>
        </w:rPr>
      </w:pPr>
    </w:p>
    <w:p w14:paraId="33ECC87E">
      <w:pPr>
        <w:ind w:firstLine="2880" w:firstLineChars="900"/>
        <w:rPr>
          <w:rFonts w:hint="eastAsia"/>
        </w:rPr>
      </w:pPr>
      <w:r>
        <w:rPr>
          <w:rFonts w:hint="eastAsia"/>
          <w:sz w:val="32"/>
          <w:szCs w:val="32"/>
        </w:rPr>
        <w:t>拍 卖 须 知</w:t>
      </w:r>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22D1AAFC">
      <w:pPr>
        <w:spacing w:line="420" w:lineRule="exact"/>
        <w:ind w:firstLine="560"/>
        <w:rPr>
          <w:rFonts w:hint="eastAsia"/>
        </w:rPr>
      </w:pPr>
      <w:r>
        <w:rPr>
          <w:rFonts w:hint="eastAsia"/>
        </w:rPr>
        <w:t xml:space="preserve"> </w:t>
      </w:r>
      <w:bookmarkStart w:id="0" w:name="_Hlk192784023"/>
      <w:r>
        <w:rPr>
          <w:rFonts w:hint="eastAsia"/>
        </w:rPr>
        <w:t>一、拍卖标的</w:t>
      </w:r>
      <w:bookmarkEnd w:id="0"/>
    </w:p>
    <w:tbl>
      <w:tblPr>
        <w:tblStyle w:val="7"/>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484"/>
        <w:gridCol w:w="1150"/>
        <w:gridCol w:w="1064"/>
        <w:gridCol w:w="1276"/>
        <w:gridCol w:w="1550"/>
      </w:tblGrid>
      <w:tr w14:paraId="0D15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1875" w:type="dxa"/>
            <w:vAlign w:val="center"/>
          </w:tcPr>
          <w:p w14:paraId="60994383">
            <w:pPr>
              <w:ind w:firstLine="420" w:firstLineChars="200"/>
              <w:rPr>
                <w:rFonts w:hint="eastAsia"/>
                <w:sz w:val="21"/>
                <w:szCs w:val="21"/>
              </w:rPr>
            </w:pPr>
            <w:bookmarkStart w:id="1" w:name="_Hlk154154927"/>
            <w:r>
              <w:rPr>
                <w:rFonts w:hint="eastAsia"/>
                <w:sz w:val="21"/>
                <w:szCs w:val="21"/>
                <w:shd w:val="clear" w:color="auto" w:fill="auto"/>
              </w:rPr>
              <w:t>标的编号</w:t>
            </w:r>
          </w:p>
        </w:tc>
        <w:tc>
          <w:tcPr>
            <w:tcW w:w="2484" w:type="dxa"/>
            <w:vAlign w:val="center"/>
          </w:tcPr>
          <w:p w14:paraId="72BFDABE">
            <w:pPr>
              <w:ind w:firstLine="420" w:firstLineChars="200"/>
              <w:rPr>
                <w:rFonts w:hint="eastAsia"/>
                <w:sz w:val="21"/>
                <w:szCs w:val="21"/>
              </w:rPr>
            </w:pPr>
            <w:r>
              <w:rPr>
                <w:rFonts w:hint="eastAsia"/>
                <w:sz w:val="21"/>
                <w:szCs w:val="21"/>
                <w:shd w:val="clear" w:color="auto" w:fill="auto"/>
              </w:rPr>
              <w:t>标的名称</w:t>
            </w:r>
          </w:p>
        </w:tc>
        <w:tc>
          <w:tcPr>
            <w:tcW w:w="1150" w:type="dxa"/>
            <w:vAlign w:val="center"/>
          </w:tcPr>
          <w:p w14:paraId="259EB87D">
            <w:pPr>
              <w:ind w:left="0" w:leftChars="0" w:firstLine="0" w:firstLineChars="0"/>
              <w:jc w:val="center"/>
              <w:rPr>
                <w:rFonts w:hint="eastAsia"/>
                <w:sz w:val="21"/>
                <w:szCs w:val="21"/>
                <w:shd w:val="clear" w:color="auto" w:fill="auto"/>
              </w:rPr>
            </w:pPr>
            <w:r>
              <w:rPr>
                <w:rFonts w:hint="eastAsia"/>
                <w:sz w:val="21"/>
                <w:szCs w:val="21"/>
                <w:shd w:val="clear" w:color="auto" w:fill="auto"/>
              </w:rPr>
              <w:t>建筑面积</w:t>
            </w:r>
          </w:p>
          <w:p w14:paraId="035BBF83">
            <w:pPr>
              <w:ind w:left="0" w:leftChars="0" w:firstLine="0" w:firstLineChars="0"/>
              <w:rPr>
                <w:rFonts w:hint="eastAsia"/>
                <w:sz w:val="21"/>
                <w:szCs w:val="21"/>
              </w:rPr>
            </w:pPr>
            <w:r>
              <w:rPr>
                <w:rFonts w:hint="eastAsia"/>
                <w:sz w:val="21"/>
                <w:szCs w:val="21"/>
                <w:shd w:val="clear" w:color="auto" w:fill="auto"/>
              </w:rPr>
              <w:t>约（㎡）</w:t>
            </w:r>
          </w:p>
        </w:tc>
        <w:tc>
          <w:tcPr>
            <w:tcW w:w="1064" w:type="dxa"/>
            <w:vAlign w:val="center"/>
          </w:tcPr>
          <w:p w14:paraId="7715EE20">
            <w:pPr>
              <w:ind w:left="210" w:leftChars="0" w:hanging="210" w:hangingChars="100"/>
              <w:jc w:val="both"/>
              <w:rPr>
                <w:rFonts w:hint="eastAsia"/>
                <w:sz w:val="21"/>
                <w:szCs w:val="21"/>
              </w:rPr>
            </w:pPr>
            <w:r>
              <w:rPr>
                <w:rFonts w:hint="eastAsia"/>
                <w:sz w:val="21"/>
                <w:szCs w:val="21"/>
                <w:shd w:val="clear" w:color="auto" w:fill="auto"/>
              </w:rPr>
              <w:t>出租年限（年）</w:t>
            </w:r>
          </w:p>
        </w:tc>
        <w:tc>
          <w:tcPr>
            <w:tcW w:w="1276" w:type="dxa"/>
            <w:vAlign w:val="center"/>
          </w:tcPr>
          <w:p w14:paraId="6BE4C829">
            <w:pPr>
              <w:ind w:left="0" w:leftChars="0" w:firstLine="0" w:firstLineChars="0"/>
              <w:jc w:val="center"/>
              <w:rPr>
                <w:rFonts w:hint="eastAsia"/>
                <w:sz w:val="21"/>
                <w:szCs w:val="21"/>
                <w:shd w:val="clear" w:color="auto" w:fill="auto"/>
              </w:rPr>
            </w:pPr>
            <w:r>
              <w:rPr>
                <w:rFonts w:hint="eastAsia"/>
                <w:sz w:val="21"/>
                <w:szCs w:val="21"/>
                <w:shd w:val="clear" w:color="auto" w:fill="auto"/>
              </w:rPr>
              <w:t>起拍价</w:t>
            </w:r>
          </w:p>
          <w:p w14:paraId="65F20AAC">
            <w:pPr>
              <w:ind w:left="0" w:leftChars="0" w:firstLine="0" w:firstLineChars="0"/>
              <w:rPr>
                <w:rFonts w:hint="eastAsia"/>
                <w:sz w:val="21"/>
                <w:szCs w:val="21"/>
              </w:rPr>
            </w:pPr>
            <w:r>
              <w:rPr>
                <w:rFonts w:hint="eastAsia"/>
                <w:sz w:val="21"/>
                <w:szCs w:val="21"/>
                <w:shd w:val="clear" w:color="auto" w:fill="auto"/>
              </w:rPr>
              <w:t>（万元/年）</w:t>
            </w:r>
          </w:p>
        </w:tc>
        <w:tc>
          <w:tcPr>
            <w:tcW w:w="1550" w:type="dxa"/>
            <w:vAlign w:val="center"/>
          </w:tcPr>
          <w:p w14:paraId="1B50FD60">
            <w:pPr>
              <w:rPr>
                <w:rFonts w:hint="eastAsia"/>
                <w:sz w:val="21"/>
                <w:szCs w:val="21"/>
              </w:rPr>
            </w:pPr>
            <w:r>
              <w:rPr>
                <w:rFonts w:hint="eastAsia"/>
                <w:sz w:val="21"/>
                <w:szCs w:val="21"/>
                <w:shd w:val="clear" w:color="auto" w:fill="auto"/>
              </w:rPr>
              <w:t>备注</w:t>
            </w:r>
          </w:p>
        </w:tc>
      </w:tr>
      <w:tr w14:paraId="611F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1875" w:type="dxa"/>
            <w:vAlign w:val="center"/>
          </w:tcPr>
          <w:p w14:paraId="0C024C3B">
            <w:pPr>
              <w:ind w:left="0" w:leftChars="0" w:firstLine="0" w:firstLineChars="0"/>
              <w:jc w:val="both"/>
              <w:rPr>
                <w:rFonts w:hint="default"/>
                <w:sz w:val="21"/>
                <w:szCs w:val="21"/>
                <w:lang w:val="en-US"/>
              </w:rPr>
            </w:pPr>
            <w:r>
              <w:rPr>
                <w:rFonts w:hint="eastAsia" w:ascii="宋体" w:hAnsi="宋体" w:eastAsia="宋体" w:cs="宋体"/>
                <w:sz w:val="21"/>
                <w:szCs w:val="21"/>
                <w:shd w:val="clear" w:color="auto" w:fill="auto"/>
                <w:lang w:val="en-US" w:eastAsia="zh-CN"/>
              </w:rPr>
              <w:t>YXZL202</w:t>
            </w:r>
            <w:r>
              <w:rPr>
                <w:rFonts w:hint="eastAsia" w:cs="宋体"/>
                <w:sz w:val="21"/>
                <w:szCs w:val="21"/>
                <w:shd w:val="clear" w:color="auto" w:fill="auto"/>
                <w:lang w:val="en-US" w:eastAsia="zh-CN"/>
              </w:rPr>
              <w:t>60012001</w:t>
            </w:r>
          </w:p>
        </w:tc>
        <w:tc>
          <w:tcPr>
            <w:tcW w:w="2484" w:type="dxa"/>
            <w:vAlign w:val="center"/>
          </w:tcPr>
          <w:p w14:paraId="4F332842">
            <w:pPr>
              <w:spacing w:line="300" w:lineRule="exact"/>
              <w:ind w:left="0" w:leftChars="0" w:firstLine="0" w:firstLineChars="0"/>
              <w:jc w:val="both"/>
              <w:rPr>
                <w:rFonts w:hint="eastAsia"/>
                <w:sz w:val="21"/>
                <w:szCs w:val="21"/>
              </w:rPr>
            </w:pPr>
            <w:r>
              <w:rPr>
                <w:rFonts w:hint="eastAsia" w:ascii="Arial" w:hAnsi="Arial" w:eastAsia="宋体" w:cs="Arial"/>
                <w:i w:val="0"/>
                <w:iCs w:val="0"/>
                <w:caps w:val="0"/>
                <w:color w:val="5C5C5C"/>
                <w:spacing w:val="0"/>
                <w:sz w:val="21"/>
                <w:szCs w:val="21"/>
                <w:shd w:val="clear" w:fill="FFFFFF"/>
              </w:rPr>
              <w:t>宜兴市丁蜀镇公园路247号部分房产的</w:t>
            </w:r>
            <w:r>
              <w:rPr>
                <w:rFonts w:hint="eastAsia" w:ascii="Arial" w:hAnsi="Arial" w:eastAsia="宋体" w:cs="Arial"/>
                <w:i w:val="0"/>
                <w:iCs w:val="0"/>
                <w:caps w:val="0"/>
                <w:color w:val="5C5C5C"/>
                <w:spacing w:val="0"/>
                <w:sz w:val="21"/>
                <w:szCs w:val="21"/>
                <w:shd w:val="clear" w:fill="FFFFFF"/>
                <w:lang w:val="en-US" w:eastAsia="zh-CN"/>
              </w:rPr>
              <w:t>租</w:t>
            </w:r>
            <w:r>
              <w:rPr>
                <w:rFonts w:ascii="Arial" w:hAnsi="Arial" w:eastAsia="宋体" w:cs="Arial"/>
                <w:i w:val="0"/>
                <w:iCs w:val="0"/>
                <w:caps w:val="0"/>
                <w:color w:val="5C5C5C"/>
                <w:spacing w:val="0"/>
                <w:sz w:val="21"/>
                <w:szCs w:val="21"/>
                <w:shd w:val="clear" w:fill="FFFFFF"/>
              </w:rPr>
              <w:t>赁权</w:t>
            </w:r>
          </w:p>
        </w:tc>
        <w:tc>
          <w:tcPr>
            <w:tcW w:w="1150" w:type="dxa"/>
            <w:vAlign w:val="center"/>
          </w:tcPr>
          <w:p w14:paraId="789C47FC">
            <w:pPr>
              <w:ind w:firstLine="210" w:firstLineChars="100"/>
              <w:rPr>
                <w:rFonts w:hint="default" w:eastAsiaTheme="minorEastAsia"/>
                <w:sz w:val="21"/>
                <w:szCs w:val="21"/>
                <w:lang w:val="en-US" w:eastAsia="zh-CN"/>
              </w:rPr>
            </w:pPr>
            <w:r>
              <w:rPr>
                <w:rFonts w:hint="eastAsia"/>
                <w:sz w:val="21"/>
                <w:szCs w:val="21"/>
                <w:lang w:val="en-US" w:eastAsia="zh-CN"/>
              </w:rPr>
              <w:t>140</w:t>
            </w:r>
          </w:p>
        </w:tc>
        <w:tc>
          <w:tcPr>
            <w:tcW w:w="1064" w:type="dxa"/>
            <w:shd w:val="clear" w:color="auto" w:fill="auto"/>
            <w:vAlign w:val="center"/>
          </w:tcPr>
          <w:p w14:paraId="1E8290D9">
            <w:pPr>
              <w:ind w:firstLine="480" w:firstLineChars="200"/>
              <w:rPr>
                <w:rFonts w:hint="eastAsia"/>
                <w:sz w:val="21"/>
                <w:szCs w:val="21"/>
              </w:rPr>
            </w:pPr>
            <w:r>
              <w:rPr>
                <w:rFonts w:hint="eastAsia"/>
                <w:sz w:val="24"/>
                <w:szCs w:val="24"/>
                <w:shd w:val="clear" w:color="auto" w:fill="auto"/>
              </w:rPr>
              <w:t>3</w:t>
            </w:r>
          </w:p>
        </w:tc>
        <w:tc>
          <w:tcPr>
            <w:tcW w:w="1276" w:type="dxa"/>
            <w:vAlign w:val="center"/>
          </w:tcPr>
          <w:p w14:paraId="11FBA9E1">
            <w:pPr>
              <w:ind w:firstLine="240" w:firstLineChars="100"/>
              <w:rPr>
                <w:rFonts w:hint="default"/>
                <w:sz w:val="21"/>
                <w:szCs w:val="21"/>
                <w:lang w:val="en-US"/>
              </w:rPr>
            </w:pPr>
            <w:r>
              <w:rPr>
                <w:rFonts w:hint="eastAsia"/>
                <w:sz w:val="24"/>
                <w:szCs w:val="24"/>
                <w:shd w:val="clear" w:color="auto" w:fill="auto"/>
                <w:lang w:val="en-US" w:eastAsia="zh-CN"/>
              </w:rPr>
              <w:t>2.8</w:t>
            </w:r>
          </w:p>
        </w:tc>
        <w:tc>
          <w:tcPr>
            <w:tcW w:w="1550" w:type="dxa"/>
            <w:vAlign w:val="center"/>
          </w:tcPr>
          <w:p w14:paraId="7EB0D66E">
            <w:pPr>
              <w:ind w:left="0" w:leftChars="0" w:firstLine="0" w:firstLineChars="0"/>
              <w:rPr>
                <w:rFonts w:hint="eastAsia"/>
                <w:sz w:val="21"/>
                <w:szCs w:val="21"/>
              </w:rPr>
            </w:pPr>
            <w:r>
              <w:rPr>
                <w:rFonts w:hint="default" w:eastAsia="宋体"/>
                <w:sz w:val="21"/>
                <w:szCs w:val="21"/>
                <w:shd w:val="clear" w:color="auto" w:fill="auto"/>
                <w:lang w:val="en-US" w:eastAsia="zh-CN"/>
              </w:rPr>
              <w:t>餐饮除外</w:t>
            </w:r>
          </w:p>
        </w:tc>
      </w:tr>
      <w:bookmarkEnd w:id="1"/>
    </w:tbl>
    <w:p w14:paraId="4AC3FC8C">
      <w:pPr>
        <w:spacing w:line="420" w:lineRule="exact"/>
        <w:ind w:left="0" w:leftChars="0" w:firstLine="560" w:firstLineChars="200"/>
        <w:rPr>
          <w:rFonts w:hint="eastAsia"/>
        </w:rPr>
      </w:pPr>
      <w:r>
        <w:rPr>
          <w:rFonts w:hint="eastAsia"/>
        </w:rPr>
        <w:t>二、拍卖时间及地点</w:t>
      </w:r>
    </w:p>
    <w:p w14:paraId="02787D13">
      <w:pPr>
        <w:spacing w:line="420" w:lineRule="exact"/>
        <w:ind w:firstLineChars="15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23</w:t>
      </w:r>
      <w:r>
        <w:rPr>
          <w:rFonts w:hint="eastAsia"/>
        </w:rPr>
        <w:t xml:space="preserve">日上午 9:00。                </w:t>
      </w:r>
    </w:p>
    <w:p w14:paraId="0A5A83BE">
      <w:pPr>
        <w:ind w:left="0" w:leftChars="0" w:firstLine="560" w:firstLineChars="200"/>
        <w:rPr>
          <w:rFonts w:hint="eastAsia"/>
        </w:rPr>
      </w:pPr>
      <w:r>
        <w:t>2</w:t>
      </w:r>
      <w:r>
        <w:rPr>
          <w:rFonts w:hint="eastAsia"/>
        </w:rPr>
        <w:t>、拍卖地点：宜兴市公共资源交易中心二楼</w:t>
      </w:r>
      <w:bookmarkStart w:id="2" w:name="_Hlk154153367"/>
      <w:r>
        <w:rPr>
          <w:rFonts w:hint="eastAsia"/>
          <w:sz w:val="28"/>
          <w:szCs w:val="28"/>
          <w:shd w:val="clear" w:color="auto" w:fill="auto"/>
          <w:lang w:val="en-US" w:eastAsia="zh-CN"/>
        </w:rPr>
        <w:t>多功能厅</w:t>
      </w:r>
      <w:r>
        <w:rPr>
          <w:rFonts w:hint="eastAsia"/>
          <w:sz w:val="28"/>
          <w:szCs w:val="28"/>
          <w:shd w:val="clear" w:color="auto" w:fill="auto"/>
        </w:rPr>
        <w:t>(</w:t>
      </w:r>
      <w:r>
        <w:rPr>
          <w:rFonts w:hint="eastAsia"/>
        </w:rPr>
        <w:t>(宜兴市陶都路125号)</w:t>
      </w:r>
      <w:bookmarkEnd w:id="2"/>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3" w:name="_Hlk154154618"/>
      <w:r>
        <w:rPr>
          <w:rFonts w:hint="eastAsia"/>
          <w:sz w:val="28"/>
          <w:shd w:val="clear" w:color="auto" w:fill="FFFFFF"/>
        </w:rPr>
        <w:t>报名截止时间</w:t>
      </w:r>
      <w:bookmarkEnd w:id="3"/>
      <w:r>
        <w:rPr>
          <w:rFonts w:hint="eastAsia"/>
          <w:sz w:val="28"/>
          <w:shd w:val="clear" w:color="auto" w:fill="FFFFFF"/>
        </w:rPr>
        <w:t>：</w:t>
      </w:r>
      <w:r>
        <w:rPr>
          <w:rFonts w:hint="eastAsia"/>
          <w:color w:val="FF0000"/>
          <w:sz w:val="28"/>
          <w:shd w:val="clear" w:color="auto" w:fill="FFFFFF"/>
        </w:rPr>
        <w:t xml:space="preserve"> </w:t>
      </w:r>
      <w:bookmarkStart w:id="4"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6</w:t>
      </w:r>
      <w:r>
        <w:rPr>
          <w:rFonts w:hint="eastAsia"/>
          <w:sz w:val="28"/>
          <w:shd w:val="clear" w:color="auto" w:fill="FFFFFF"/>
        </w:rPr>
        <w:t>月</w:t>
      </w:r>
      <w:r>
        <w:rPr>
          <w:rFonts w:hint="eastAsia"/>
          <w:sz w:val="28"/>
          <w:shd w:val="clear" w:color="auto" w:fill="FFFFFF"/>
          <w:lang w:val="en-US" w:eastAsia="zh-CN"/>
        </w:rPr>
        <w:t>22</w:t>
      </w:r>
      <w:r>
        <w:rPr>
          <w:rFonts w:hint="eastAsia"/>
          <w:sz w:val="28"/>
          <w:shd w:val="clear" w:color="auto" w:fill="FFFFFF"/>
        </w:rPr>
        <w:t>日</w:t>
      </w:r>
      <w:bookmarkEnd w:id="4"/>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5" w:name="_Hlk154154819"/>
      <w:r>
        <w:rPr>
          <w:rFonts w:hint="eastAsia"/>
          <w:sz w:val="28"/>
          <w:shd w:val="clear" w:color="auto" w:fill="FFFFFF"/>
        </w:rPr>
        <w:t>报名程序及注意事项</w:t>
      </w:r>
      <w:bookmarkEnd w:id="5"/>
      <w:r>
        <w:rPr>
          <w:rFonts w:hint="eastAsia"/>
          <w:sz w:val="28"/>
          <w:shd w:val="clear" w:color="auto" w:fill="FFFFFF"/>
        </w:rPr>
        <w:t>：</w:t>
      </w:r>
    </w:p>
    <w:p w14:paraId="7C733E9C">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keepNext w:val="0"/>
              <w:keepLines w:val="0"/>
              <w:pageBreakBefore w:val="0"/>
              <w:widowControl w:val="0"/>
              <w:kinsoku/>
              <w:wordWrap/>
              <w:overflowPunct/>
              <w:topLinePunct w:val="0"/>
              <w:autoSpaceDE/>
              <w:autoSpaceDN/>
              <w:bidi w:val="0"/>
              <w:adjustRightInd/>
              <w:snapToGrid/>
              <w:spacing w:line="380" w:lineRule="exact"/>
              <w:ind w:firstLine="0" w:firstLineChars="0"/>
              <w:jc w:val="both"/>
              <w:textAlignment w:val="auto"/>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spacing w:beforeAutospacing="0" w:afterAutospacing="0"/>
        <w:ind w:firstLine="480"/>
        <w:rPr>
          <w:rFonts w:hint="eastAsia" w:cs="宋体"/>
          <w:color w:val="333333"/>
          <w:highlight w:val="yellow"/>
          <w:shd w:val="clear" w:color="auto" w:fill="FFFFFF"/>
        </w:rPr>
      </w:pPr>
      <w:r>
        <w:rPr>
          <w:rFonts w:hint="eastAsia"/>
        </w:rPr>
        <w:t xml:space="preserve">⑥ </w:t>
      </w:r>
      <w:r>
        <w:t>中国农业银行股份有限公司宜兴分行营业部行号 ：103302364819。</w:t>
      </w:r>
      <w:r>
        <w:rPr>
          <w:rFonts w:hint="eastAsia"/>
          <w:lang w:val="en-US" w:eastAsia="zh-CN"/>
        </w:rPr>
        <w:t xml:space="preserve">    </w:t>
      </w:r>
      <w:r>
        <w:t xml:space="preserve"> 公共资源交易中心财务咨询电话：87956061。</w:t>
      </w:r>
    </w:p>
    <w:p w14:paraId="7043C1E4">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sz w:val="28"/>
          <w:szCs w:val="28"/>
          <w:shd w:val="clear" w:color="auto" w:fill="auto"/>
          <w:lang w:val="en-US" w:eastAsia="zh-CN"/>
        </w:rPr>
      </w:pPr>
      <w:r>
        <w:rPr>
          <w:rFonts w:hint="eastAsia"/>
          <w:sz w:val="28"/>
          <w:shd w:val="clear" w:color="auto" w:fill="FFFFFF"/>
        </w:rPr>
        <w:t>（3）竞买人应在报名截止时间前完成注册，并按照相关要求进行报名；未在规定期限内完成报名手续的或未通过后台审核的竞买人不得参加竞买。</w:t>
      </w:r>
    </w:p>
    <w:p w14:paraId="692E320C">
      <w:pPr>
        <w:pStyle w:val="6"/>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textAlignment w:val="auto"/>
        <w:rPr>
          <w:rFonts w:hint="eastAsia" w:cs="宋体"/>
          <w:sz w:val="28"/>
        </w:rPr>
      </w:pPr>
      <w:r>
        <w:rPr>
          <w:rFonts w:hint="eastAsia"/>
          <w:sz w:val="28"/>
          <w:shd w:val="clear" w:color="auto" w:fill="FFFFFF"/>
        </w:rPr>
        <w:t>（4）报名环节所需要的相关资料需以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6"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6"/>
      <w:r>
        <w:rPr>
          <w:rFonts w:hint="eastAsia"/>
        </w:rPr>
        <w:t>，自成交之日起5个工作日内交清拍卖成交价款、租赁押金（如有）</w:t>
      </w:r>
      <w:r>
        <w:rPr>
          <w:rFonts w:hint="eastAsia"/>
          <w:lang w:eastAsia="zh-CN"/>
        </w:rPr>
        <w:t>、</w:t>
      </w:r>
      <w:r>
        <w:rPr>
          <w:rFonts w:hint="eastAsia"/>
          <w:lang w:val="en-US" w:eastAsia="zh-CN"/>
        </w:rPr>
        <w:t>评估费</w:t>
      </w:r>
      <w:r>
        <w:rPr>
          <w:rFonts w:hint="eastAsia"/>
        </w:rPr>
        <w:t>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7202720D">
      <w:pPr>
        <w:numPr>
          <w:ilvl w:val="0"/>
          <w:numId w:val="0"/>
        </w:numPr>
        <w:rPr>
          <w:rFonts w:hint="eastAsia"/>
          <w:lang w:val="en-US" w:eastAsia="zh-CN"/>
        </w:rPr>
      </w:pPr>
    </w:p>
    <w:p w14:paraId="43022918">
      <w:pPr>
        <w:numPr>
          <w:ilvl w:val="0"/>
          <w:numId w:val="0"/>
        </w:numPr>
        <w:rPr>
          <w:rFonts w:hint="eastAsia"/>
          <w:lang w:val="en-US" w:eastAsia="zh-CN"/>
        </w:rPr>
      </w:pPr>
    </w:p>
    <w:p w14:paraId="3D90B9A7">
      <w:pPr>
        <w:ind w:firstLine="1400" w:firstLineChars="500"/>
        <w:jc w:val="right"/>
        <w:rPr>
          <w:rFonts w:hint="eastAsia"/>
        </w:rPr>
      </w:pPr>
      <w:r>
        <w:rPr>
          <w:rFonts w:hint="eastAsia"/>
          <w:lang w:val="en-US" w:eastAsia="zh-CN"/>
        </w:rPr>
        <w:t>无锡</w:t>
      </w:r>
      <w:r>
        <w:rPr>
          <w:rFonts w:hint="eastAsia"/>
        </w:rPr>
        <w:t>益德拍卖有限公司</w:t>
      </w:r>
    </w:p>
    <w:p w14:paraId="74133D47">
      <w:pPr>
        <w:ind w:firstLine="5320" w:firstLineChars="1900"/>
        <w:jc w:val="right"/>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8</w:t>
      </w:r>
      <w:bookmarkStart w:id="7" w:name="_GoBack"/>
      <w:bookmarkEnd w:id="7"/>
      <w:r>
        <w:rPr>
          <w:rFonts w:hint="eastAsia"/>
        </w:rPr>
        <w:t>日</w:t>
      </w:r>
    </w:p>
    <w:p w14:paraId="381DF34F">
      <w:pPr>
        <w:ind w:firstLine="560"/>
        <w:rPr>
          <w:rFonts w:hint="eastAsia"/>
        </w:rPr>
      </w:pPr>
    </w:p>
    <w:p w14:paraId="64C9344A">
      <w:pPr>
        <w:ind w:firstLine="560"/>
        <w:rPr>
          <w:rFonts w:hint="eastAsia"/>
        </w:rPr>
      </w:pPr>
      <w:r>
        <w:rPr>
          <w:rFonts w:hint="eastAsia"/>
        </w:rPr>
        <w:t>竞买人对以上内容应仔细阅读，确认已充分知晓并理解各条款之确切含义及相应法律责任。</w:t>
      </w:r>
    </w:p>
    <w:sectPr>
      <w:headerReference r:id="rId7" w:type="first"/>
      <w:footerReference r:id="rId10" w:type="first"/>
      <w:headerReference r:id="rId5" w:type="default"/>
      <w:footerReference r:id="rId8" w:type="default"/>
      <w:headerReference r:id="rId6" w:type="even"/>
      <w:footerReference r:id="rId9" w:type="even"/>
      <w:pgSz w:w="11906" w:h="16838"/>
      <w:pgMar w:top="1610" w:right="1689" w:bottom="1610" w:left="1689"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A135A"/>
    <w:rsid w:val="000E7630"/>
    <w:rsid w:val="00197DDA"/>
    <w:rsid w:val="001B48EE"/>
    <w:rsid w:val="001E3823"/>
    <w:rsid w:val="001F5523"/>
    <w:rsid w:val="002527DA"/>
    <w:rsid w:val="00273D09"/>
    <w:rsid w:val="00276BA6"/>
    <w:rsid w:val="00295B4F"/>
    <w:rsid w:val="002B291F"/>
    <w:rsid w:val="00322C1E"/>
    <w:rsid w:val="00345F7A"/>
    <w:rsid w:val="00361F41"/>
    <w:rsid w:val="00384E9C"/>
    <w:rsid w:val="0042242B"/>
    <w:rsid w:val="004277C9"/>
    <w:rsid w:val="00430FE6"/>
    <w:rsid w:val="00476D8D"/>
    <w:rsid w:val="004E147D"/>
    <w:rsid w:val="004E2C3D"/>
    <w:rsid w:val="005755DF"/>
    <w:rsid w:val="005B6F7B"/>
    <w:rsid w:val="00636ABA"/>
    <w:rsid w:val="00674EA7"/>
    <w:rsid w:val="006A7046"/>
    <w:rsid w:val="006C32C1"/>
    <w:rsid w:val="006C7231"/>
    <w:rsid w:val="007320EA"/>
    <w:rsid w:val="00755C3F"/>
    <w:rsid w:val="00805799"/>
    <w:rsid w:val="00837594"/>
    <w:rsid w:val="0084275B"/>
    <w:rsid w:val="00870E4A"/>
    <w:rsid w:val="008812E8"/>
    <w:rsid w:val="008B477C"/>
    <w:rsid w:val="009032C2"/>
    <w:rsid w:val="00937879"/>
    <w:rsid w:val="00990824"/>
    <w:rsid w:val="009919C6"/>
    <w:rsid w:val="009B7712"/>
    <w:rsid w:val="009D22CD"/>
    <w:rsid w:val="00A06207"/>
    <w:rsid w:val="00A21416"/>
    <w:rsid w:val="00A44161"/>
    <w:rsid w:val="00A842EB"/>
    <w:rsid w:val="00AC179F"/>
    <w:rsid w:val="00BA3977"/>
    <w:rsid w:val="00C45783"/>
    <w:rsid w:val="00C53A4C"/>
    <w:rsid w:val="00C54EAB"/>
    <w:rsid w:val="00C82CBB"/>
    <w:rsid w:val="00CA274D"/>
    <w:rsid w:val="00CC309C"/>
    <w:rsid w:val="00D11FAB"/>
    <w:rsid w:val="00D43A38"/>
    <w:rsid w:val="00DA2342"/>
    <w:rsid w:val="00DB12A4"/>
    <w:rsid w:val="00DC757E"/>
    <w:rsid w:val="00EA229F"/>
    <w:rsid w:val="00F85EEC"/>
    <w:rsid w:val="00F87463"/>
    <w:rsid w:val="00FB13CB"/>
    <w:rsid w:val="00FB4261"/>
    <w:rsid w:val="00FC1E8E"/>
    <w:rsid w:val="00FF5E93"/>
    <w:rsid w:val="01714984"/>
    <w:rsid w:val="0333345C"/>
    <w:rsid w:val="04F03C97"/>
    <w:rsid w:val="051B5F74"/>
    <w:rsid w:val="053C6EDC"/>
    <w:rsid w:val="076F2CF8"/>
    <w:rsid w:val="077B109C"/>
    <w:rsid w:val="08B649BC"/>
    <w:rsid w:val="09612A37"/>
    <w:rsid w:val="09B92CEA"/>
    <w:rsid w:val="0A1246EC"/>
    <w:rsid w:val="0B646CA3"/>
    <w:rsid w:val="0CDE4E63"/>
    <w:rsid w:val="0D2F0621"/>
    <w:rsid w:val="0D313465"/>
    <w:rsid w:val="0E6C47D4"/>
    <w:rsid w:val="0E9A2E45"/>
    <w:rsid w:val="0F3420BD"/>
    <w:rsid w:val="0FA364D6"/>
    <w:rsid w:val="123F625E"/>
    <w:rsid w:val="12857438"/>
    <w:rsid w:val="128F6C9A"/>
    <w:rsid w:val="12B912BF"/>
    <w:rsid w:val="12EE21A8"/>
    <w:rsid w:val="132F320B"/>
    <w:rsid w:val="16133C89"/>
    <w:rsid w:val="17BC33AC"/>
    <w:rsid w:val="1819758E"/>
    <w:rsid w:val="18B067CF"/>
    <w:rsid w:val="192306DD"/>
    <w:rsid w:val="1A96457F"/>
    <w:rsid w:val="1AF720E8"/>
    <w:rsid w:val="1AF77770"/>
    <w:rsid w:val="1C040E10"/>
    <w:rsid w:val="1CD87093"/>
    <w:rsid w:val="1E944523"/>
    <w:rsid w:val="21CD079E"/>
    <w:rsid w:val="22773079"/>
    <w:rsid w:val="25537BFE"/>
    <w:rsid w:val="26A64736"/>
    <w:rsid w:val="278C7703"/>
    <w:rsid w:val="29AE5C47"/>
    <w:rsid w:val="2AE03152"/>
    <w:rsid w:val="2C500B1B"/>
    <w:rsid w:val="2D6C3F53"/>
    <w:rsid w:val="2E0E1BAF"/>
    <w:rsid w:val="2E70537D"/>
    <w:rsid w:val="2ED710DE"/>
    <w:rsid w:val="2F492340"/>
    <w:rsid w:val="328D2B99"/>
    <w:rsid w:val="32D74B82"/>
    <w:rsid w:val="331619F9"/>
    <w:rsid w:val="33323549"/>
    <w:rsid w:val="33673ECA"/>
    <w:rsid w:val="3410342A"/>
    <w:rsid w:val="34922213"/>
    <w:rsid w:val="35550544"/>
    <w:rsid w:val="35BF4294"/>
    <w:rsid w:val="35E22849"/>
    <w:rsid w:val="35E3774B"/>
    <w:rsid w:val="36B351C5"/>
    <w:rsid w:val="374934DD"/>
    <w:rsid w:val="3782313D"/>
    <w:rsid w:val="38241206"/>
    <w:rsid w:val="3B4F5CAE"/>
    <w:rsid w:val="3C003CB1"/>
    <w:rsid w:val="3C097069"/>
    <w:rsid w:val="3EFF21D9"/>
    <w:rsid w:val="3FDD45C0"/>
    <w:rsid w:val="40B45D7C"/>
    <w:rsid w:val="41C8439F"/>
    <w:rsid w:val="42C827B2"/>
    <w:rsid w:val="444E5319"/>
    <w:rsid w:val="45567BC2"/>
    <w:rsid w:val="45627EA6"/>
    <w:rsid w:val="46E66D6E"/>
    <w:rsid w:val="471D1529"/>
    <w:rsid w:val="48D80297"/>
    <w:rsid w:val="49DA7107"/>
    <w:rsid w:val="49FB248F"/>
    <w:rsid w:val="49FD0420"/>
    <w:rsid w:val="4AD73E99"/>
    <w:rsid w:val="4AF54AD5"/>
    <w:rsid w:val="4BD96800"/>
    <w:rsid w:val="4E140BEB"/>
    <w:rsid w:val="4E706752"/>
    <w:rsid w:val="4FDA0317"/>
    <w:rsid w:val="4FDA66A3"/>
    <w:rsid w:val="51D74D7D"/>
    <w:rsid w:val="51DA0BDC"/>
    <w:rsid w:val="532816E6"/>
    <w:rsid w:val="5380453A"/>
    <w:rsid w:val="53C94501"/>
    <w:rsid w:val="5437167A"/>
    <w:rsid w:val="54A3212E"/>
    <w:rsid w:val="55A10B06"/>
    <w:rsid w:val="55DC5FBB"/>
    <w:rsid w:val="55E51921"/>
    <w:rsid w:val="55E71B19"/>
    <w:rsid w:val="57160203"/>
    <w:rsid w:val="5748072D"/>
    <w:rsid w:val="59205A6E"/>
    <w:rsid w:val="599B4F6D"/>
    <w:rsid w:val="59D31C95"/>
    <w:rsid w:val="5B0D4D97"/>
    <w:rsid w:val="5E292E8D"/>
    <w:rsid w:val="5EF34FFB"/>
    <w:rsid w:val="60D86B60"/>
    <w:rsid w:val="60DB227B"/>
    <w:rsid w:val="614B11AE"/>
    <w:rsid w:val="66D76C09"/>
    <w:rsid w:val="66FB6FF1"/>
    <w:rsid w:val="695D4175"/>
    <w:rsid w:val="697D4AC2"/>
    <w:rsid w:val="6A7D7B81"/>
    <w:rsid w:val="6A9A4F55"/>
    <w:rsid w:val="6BCC55E2"/>
    <w:rsid w:val="6D82081A"/>
    <w:rsid w:val="6EC356CD"/>
    <w:rsid w:val="6F482643"/>
    <w:rsid w:val="6F871F4B"/>
    <w:rsid w:val="71E332A0"/>
    <w:rsid w:val="72A00A3C"/>
    <w:rsid w:val="738D2B36"/>
    <w:rsid w:val="744F0B5E"/>
    <w:rsid w:val="74D147AA"/>
    <w:rsid w:val="7512788B"/>
    <w:rsid w:val="76044052"/>
    <w:rsid w:val="76447604"/>
    <w:rsid w:val="77533873"/>
    <w:rsid w:val="783502EA"/>
    <w:rsid w:val="78F97A5A"/>
    <w:rsid w:val="79541093"/>
    <w:rsid w:val="79627149"/>
    <w:rsid w:val="7A0D1DA1"/>
    <w:rsid w:val="7A3B2ACB"/>
    <w:rsid w:val="7A950625"/>
    <w:rsid w:val="7AE72B12"/>
    <w:rsid w:val="7B851FEE"/>
    <w:rsid w:val="7D190FCD"/>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2932</Words>
  <Characters>2990</Characters>
  <Lines>131</Lines>
  <Paragraphs>133</Paragraphs>
  <TotalTime>0</TotalTime>
  <ScaleCrop>false</ScaleCrop>
  <LinksUpToDate>false</LinksUpToDate>
  <CharactersWithSpaces>3046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cp:lastPrinted>2025-07-17T07:34:00Z</cp:lastPrinted>
  <dcterms:modified xsi:type="dcterms:W3CDTF">2026-06-03T06:55:09Z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