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E4A91E">
      <w:pPr>
        <w:spacing w:line="700" w:lineRule="exact"/>
        <w:jc w:val="center"/>
        <w:rPr>
          <w:rFonts w:hint="eastAsia" w:ascii="方正小标宋_GBK" w:hAnsi="方正小标宋_GBK" w:eastAsia="方正小标宋_GBK" w:cs="方正小标宋_GBK"/>
          <w:bCs/>
          <w:sz w:val="44"/>
          <w:szCs w:val="44"/>
          <w:lang w:val="en-US" w:eastAsia="zh-CN"/>
        </w:rPr>
      </w:pPr>
      <w:r>
        <w:rPr>
          <w:rFonts w:hint="eastAsia" w:ascii="方正小标宋_GBK" w:hAnsi="方正小标宋_GBK" w:eastAsia="方正小标宋_GBK" w:cs="方正小标宋_GBK"/>
          <w:bCs/>
          <w:sz w:val="44"/>
          <w:szCs w:val="44"/>
          <w:lang w:val="en-US" w:eastAsia="zh-CN"/>
        </w:rPr>
        <w:t>2025年度体育彩票公益金资助项目</w:t>
      </w:r>
    </w:p>
    <w:p w14:paraId="59C9AF99">
      <w:pPr>
        <w:spacing w:line="700" w:lineRule="exact"/>
        <w:jc w:val="center"/>
        <w:rPr>
          <w:rFonts w:hint="eastAsia" w:ascii="方正小标宋_GBK" w:hAnsi="方正小标宋_GBK" w:eastAsia="方正小标宋_GBK" w:cs="方正小标宋_GBK"/>
          <w:bCs/>
          <w:sz w:val="44"/>
          <w:szCs w:val="44"/>
          <w:lang w:val="en-US" w:eastAsia="zh-CN"/>
        </w:rPr>
      </w:pPr>
      <w:r>
        <w:rPr>
          <w:rFonts w:hint="eastAsia" w:ascii="方正小标宋_GBK" w:hAnsi="方正小标宋_GBK" w:eastAsia="方正小标宋_GBK" w:cs="方正小标宋_GBK"/>
          <w:bCs/>
          <w:sz w:val="44"/>
          <w:szCs w:val="44"/>
          <w:lang w:val="en-US" w:eastAsia="zh-CN"/>
        </w:rPr>
        <w:t>宣传公告（支持竞技体育）</w:t>
      </w:r>
    </w:p>
    <w:p w14:paraId="5A876ED4">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sz w:val="32"/>
          <w:szCs w:val="32"/>
          <w:lang w:val="en-US" w:eastAsia="zh-CN"/>
        </w:rPr>
      </w:pPr>
    </w:p>
    <w:p w14:paraId="78E6CB3E">
      <w:pPr>
        <w:widowControl/>
        <w:adjustRightInd w:val="0"/>
        <w:snapToGrid w:val="0"/>
        <w:spacing w:line="580" w:lineRule="exact"/>
        <w:ind w:firstLine="640" w:firstLineChars="200"/>
        <w:rPr>
          <w:rFonts w:hint="eastAsia" w:ascii="方正黑体_GBK" w:hAnsi="Times New Roman" w:eastAsia="方正黑体_GBK" w:cs="Times New Roman"/>
          <w:sz w:val="32"/>
          <w:szCs w:val="32"/>
          <w:lang w:val="en-US" w:eastAsia="zh-CN"/>
        </w:rPr>
      </w:pPr>
      <w:r>
        <w:rPr>
          <w:rFonts w:hint="eastAsia" w:ascii="方正黑体_GBK" w:hAnsi="Times New Roman" w:eastAsia="方正黑体_GBK" w:cs="Times New Roman"/>
          <w:sz w:val="32"/>
          <w:szCs w:val="32"/>
          <w:lang w:val="en-US" w:eastAsia="zh-CN"/>
        </w:rPr>
        <w:t>一、公益金资助项目信息公布情况</w:t>
      </w:r>
    </w:p>
    <w:p w14:paraId="6ECA7D55">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方正楷体_GBK" w:eastAsia="方正楷体_GBK" w:cs="Times New Roman" w:hAnsiTheme="minorEastAsia"/>
          <w:sz w:val="32"/>
          <w:szCs w:val="32"/>
          <w:lang w:val="en-US" w:eastAsia="zh-CN"/>
        </w:rPr>
      </w:pPr>
      <w:r>
        <w:rPr>
          <w:rFonts w:hint="eastAsia" w:ascii="仿宋" w:hAnsi="仿宋" w:eastAsia="仿宋" w:cs="仿宋"/>
          <w:sz w:val="32"/>
          <w:szCs w:val="32"/>
          <w:lang w:val="en-US" w:eastAsia="zh-CN"/>
        </w:rPr>
        <w:t xml:space="preserve">   </w:t>
      </w:r>
      <w:r>
        <w:rPr>
          <w:rFonts w:hint="eastAsia" w:ascii="方正楷体_GBK" w:eastAsia="方正楷体_GBK" w:cs="Times New Roman" w:hAnsiTheme="minorEastAsia"/>
          <w:sz w:val="32"/>
          <w:szCs w:val="32"/>
          <w:lang w:val="en-US" w:eastAsia="zh-CN"/>
        </w:rPr>
        <w:t>（一）项目概况</w:t>
      </w:r>
    </w:p>
    <w:p w14:paraId="58C9E786">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1.项目名称：支持竞技体育</w:t>
      </w:r>
    </w:p>
    <w:p w14:paraId="1D510080">
      <w:pPr>
        <w:widowControl/>
        <w:adjustRightInd w:val="0"/>
        <w:snapToGrid w:val="0"/>
        <w:spacing w:line="580" w:lineRule="exact"/>
        <w:ind w:firstLine="640" w:firstLineChars="200"/>
        <w:rPr>
          <w:rFonts w:hint="default"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2.项目单位：</w:t>
      </w:r>
      <w:r>
        <w:rPr>
          <w:rFonts w:hint="eastAsia" w:ascii="方正仿宋_GBK" w:hAnsi="Times New Roman" w:eastAsia="方正仿宋_GBK" w:cs="Times New Roman"/>
          <w:sz w:val="32"/>
          <w:szCs w:val="32"/>
          <w:lang w:eastAsia="zh-CN"/>
        </w:rPr>
        <w:t>宜兴市文体广电和旅游局</w:t>
      </w:r>
    </w:p>
    <w:p w14:paraId="643B6FA0">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3.项目总额：30.53万</w:t>
      </w:r>
    </w:p>
    <w:p w14:paraId="026991D3">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4.项目联络人：张建军</w:t>
      </w:r>
    </w:p>
    <w:p w14:paraId="5B105E45">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5.项目时间：2025年全年</w:t>
      </w:r>
    </w:p>
    <w:p w14:paraId="41558861">
      <w:pPr>
        <w:widowControl/>
        <w:adjustRightInd w:val="0"/>
        <w:snapToGrid w:val="0"/>
        <w:spacing w:line="580" w:lineRule="exact"/>
        <w:ind w:firstLine="640" w:firstLineChars="200"/>
        <w:rPr>
          <w:rFonts w:hint="default"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6.项目宣传落实情况：</w:t>
      </w:r>
      <w:r>
        <w:rPr>
          <w:rFonts w:hint="eastAsia" w:ascii="方正仿宋_GBK" w:hAnsi="Times New Roman" w:eastAsia="方正仿宋_GBK" w:cs="Times New Roman"/>
          <w:sz w:val="32"/>
          <w:szCs w:val="32"/>
        </w:rPr>
        <w:t>承办体育赛事活动时使用“中国体育彩票”标识，</w:t>
      </w:r>
      <w:r>
        <w:rPr>
          <w:rFonts w:hint="eastAsia" w:ascii="方正仿宋_GBK" w:hAnsi="Times New Roman" w:eastAsia="方正仿宋_GBK" w:cs="Times New Roman"/>
          <w:sz w:val="32"/>
          <w:szCs w:val="32"/>
          <w:lang w:eastAsia="zh-CN"/>
        </w:rPr>
        <w:t>通过</w:t>
      </w:r>
      <w:r>
        <w:rPr>
          <w:rFonts w:hint="eastAsia" w:ascii="方正仿宋_GBK" w:hAnsi="Times New Roman" w:eastAsia="方正仿宋_GBK" w:cs="Times New Roman"/>
          <w:sz w:val="32"/>
          <w:szCs w:val="32"/>
          <w:lang w:val="en-US" w:eastAsia="zh-CN"/>
        </w:rPr>
        <w:t>新媒体</w:t>
      </w:r>
      <w:r>
        <w:rPr>
          <w:rFonts w:hint="eastAsia" w:ascii="方正仿宋_GBK" w:hAnsi="Times New Roman" w:eastAsia="方正仿宋_GBK" w:cs="Times New Roman"/>
          <w:sz w:val="32"/>
          <w:szCs w:val="32"/>
          <w:lang w:eastAsia="zh-CN"/>
        </w:rPr>
        <w:t>、报纸、电视等多种媒体，对体彩公益金进行宣</w:t>
      </w:r>
      <w:r>
        <w:rPr>
          <w:rFonts w:hint="eastAsia" w:ascii="方正仿宋_GBK" w:hAnsi="Times New Roman" w:eastAsia="方正仿宋_GBK" w:cs="Times New Roman"/>
          <w:sz w:val="32"/>
          <w:szCs w:val="32"/>
          <w:lang w:val="en-US" w:eastAsia="zh-CN"/>
        </w:rPr>
        <w:t>传。提升体育彩票“公益彩票，乐善人生”的良好公益形象，践行“来之于民、用之于民”的发行宗旨。</w:t>
      </w:r>
    </w:p>
    <w:p w14:paraId="015BC2C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方正楷体_GBK" w:eastAsia="方正楷体_GBK" w:cs="Times New Roman" w:hAnsiTheme="minorEastAsia"/>
          <w:sz w:val="32"/>
          <w:szCs w:val="32"/>
          <w:lang w:val="en-US" w:eastAsia="zh-CN"/>
        </w:rPr>
      </w:pPr>
      <w:r>
        <w:rPr>
          <w:rFonts w:hint="eastAsia" w:ascii="方正楷体_GBK" w:eastAsia="方正楷体_GBK" w:cs="Times New Roman" w:hAnsiTheme="minorEastAsia"/>
          <w:sz w:val="32"/>
          <w:szCs w:val="32"/>
          <w:lang w:val="en-US" w:eastAsia="zh-CN"/>
        </w:rPr>
        <w:t>（二）公益金资助项目使用效果</w:t>
      </w:r>
    </w:p>
    <w:p w14:paraId="3A1C6255">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1.公益金资助项目的社会效益总体描述。</w:t>
      </w:r>
    </w:p>
    <w:p w14:paraId="209C6C7D">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通过在比赛项目的主背景板、秩序册增加中国体育彩票LOGO进行宣传。比赛中有序实施和大力宣传，实现了有效提升了宜兴体育旅游在中国乃至世界上的知名度和影响力，也促进了宜兴旅游和经济社会的全面发展，更好地满足了运动员积极参与各项比赛，争取优异成绩，展现我市优美的风光环境。进一步提升了体育彩票“公益彩票，乐善人生”的良好公益形象。通过本次赛事吸引全国各地甚至国际上的优秀运动员参与，不仅为运动员提供展示平台，也提升了宜兴在体育界的知名度和影响力，让宜兴成为体育赛事举办的热门地。</w:t>
      </w:r>
    </w:p>
    <w:p w14:paraId="6E73A7C2">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2.项目具体实施内容及产生经济效益、社会效益、可持续发展等效果的描述。</w:t>
      </w:r>
    </w:p>
    <w:p w14:paraId="17E9CE6E">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承办了江苏省青少年快乐体操（县组）锦标赛，一方面，作为区域间交流和竞技</w:t>
      </w:r>
      <w:bookmarkStart w:id="0" w:name="_GoBack"/>
      <w:bookmarkEnd w:id="0"/>
      <w:r>
        <w:rPr>
          <w:rFonts w:hint="eastAsia" w:ascii="方正仿宋_GBK" w:hAnsi="Times New Roman" w:eastAsia="方正仿宋_GBK" w:cs="Times New Roman"/>
          <w:sz w:val="32"/>
          <w:szCs w:val="32"/>
          <w:lang w:val="en-US" w:eastAsia="zh-CN"/>
        </w:rPr>
        <w:t>的关键平台，它有力促进了各县区队伍的互相学习与借鉴 ，大幅提升了快乐体操教学和训练的整体水平，为江苏省青少年快乐体操的发展注入新活力。通过高强度的比赛，运动员们积累了丰富的实战经验，提升了竞技水平，同时也为趣味田径人才的选拔和培养提供了平台，让更多有潜力的苗子得以崭露头角 。</w:t>
      </w:r>
    </w:p>
    <w:p w14:paraId="1CA188B9">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推广趣味田径，激发参与热情：赛事的举办在宜兴乃至更大范围内营造了浓厚的氛围，吸引众多市民关注。现场观众热情高涨，激发更多青少年对趣味田径运动的兴趣和热爱，推动趣味田径运动在青少年群体中的普及与发展，让更多孩子投身到趣味田径运动中 。</w:t>
      </w:r>
    </w:p>
    <w:p w14:paraId="40F8F10D">
      <w:pPr>
        <w:widowControl/>
        <w:adjustRightInd w:val="0"/>
        <w:snapToGrid w:val="0"/>
        <w:spacing w:line="580" w:lineRule="exact"/>
        <w:ind w:firstLine="640" w:firstLineChars="200"/>
        <w:rPr>
          <w:rFonts w:hint="eastAsia" w:ascii="仿宋" w:hAnsi="仿宋" w:eastAsia="仿宋" w:cs="仿宋"/>
          <w:sz w:val="36"/>
          <w:szCs w:val="36"/>
          <w:lang w:val="en-US" w:eastAsia="zh-CN"/>
        </w:rPr>
      </w:pPr>
      <w:r>
        <w:rPr>
          <w:rFonts w:hint="eastAsia" w:ascii="方正仿宋_GBK" w:hAnsi="Times New Roman" w:eastAsia="方正仿宋_GBK" w:cs="Times New Roman"/>
          <w:sz w:val="32"/>
          <w:szCs w:val="32"/>
          <w:lang w:val="en-US" w:eastAsia="zh-CN"/>
        </w:rPr>
        <w:t>加强交流合作，促进协同发展：来自不同地区的代表队齐聚宜兴，促进各地青少年队伍之间的交流与合作。各队不仅在赛场上相互学习，在训练方法、团队管理等方面分享经验，实现优势互补，共同进步 ，为推动全省青少年趣味田径事业协同发展起到积极作用。作为一项高规格的青少年赛事，受到媒体广泛关注和报道，提升了宜兴的城市知名度和影响力。同时，赛事举办期间，大量外地参赛人员、观众涌入，带动宜兴当地餐饮、住宿、交通等相关产业的发展，为城市经济注入活力 。</w:t>
      </w:r>
    </w:p>
    <w:p w14:paraId="2D9E2893">
      <w:pPr>
        <w:widowControl/>
        <w:adjustRightInd w:val="0"/>
        <w:snapToGrid w:val="0"/>
        <w:spacing w:line="580" w:lineRule="exact"/>
        <w:ind w:firstLine="640" w:firstLineChars="200"/>
        <w:rPr>
          <w:rFonts w:hint="eastAsia" w:ascii="方正黑体_GBK" w:hAnsi="Times New Roman" w:eastAsia="方正黑体_GBK" w:cs="Times New Roman"/>
          <w:sz w:val="32"/>
          <w:szCs w:val="32"/>
          <w:lang w:val="en-US" w:eastAsia="zh-CN"/>
        </w:rPr>
      </w:pPr>
      <w:r>
        <w:rPr>
          <w:rFonts w:hint="eastAsia" w:ascii="方正黑体_GBK" w:hAnsi="Times New Roman" w:eastAsia="方正黑体_GBK" w:cs="Times New Roman"/>
          <w:sz w:val="32"/>
          <w:szCs w:val="32"/>
          <w:lang w:val="en-US" w:eastAsia="zh-CN"/>
        </w:rPr>
        <w:t>二、资助项目宣传工作开展情况</w:t>
      </w:r>
    </w:p>
    <w:p w14:paraId="6BDA9483">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支持竞技体育项目预算金30.53万元，本年度支30.53万元，主要用于竞技体育的各项赛事经费。项目</w:t>
      </w:r>
      <w:r>
        <w:rPr>
          <w:rFonts w:hint="eastAsia" w:ascii="方正仿宋_GBK" w:hAnsi="Times New Roman" w:eastAsia="方正仿宋_GBK" w:cs="Times New Roman"/>
          <w:sz w:val="32"/>
          <w:szCs w:val="32"/>
          <w:lang w:val="en-US" w:eastAsia="zh-CN"/>
        </w:rPr>
        <w:t>项目通过赛事背景板、秩序册、成绩册等资料上印刷“中国体育彩票”LOGO，电视台、多媒体、局公众号等方式对彩票公益金进行宣传，具体包括：</w:t>
      </w:r>
    </w:p>
    <w:p w14:paraId="5995C7EF">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（一）现场宣传。在赛事背景板、秩序册、成绩册等资料上印刷“中国体育彩票”LOGO。</w:t>
      </w:r>
    </w:p>
    <w:p w14:paraId="0383B81F">
      <w:pPr>
        <w:widowControl/>
        <w:numPr>
          <w:ilvl w:val="0"/>
          <w:numId w:val="1"/>
        </w:numPr>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媒体宣传。宣传手段包含纸质、电视台、多媒体、局微信公众号等，通过在电视台、多媒体、微信局公众号进行宣传。通过宣传，取得了各代表队的肯定。有效提升了宜兴体育旅游在国内外的知名度和影响力，促进了宜兴旅游和经济社会的全面发展。</w:t>
      </w:r>
    </w:p>
    <w:p w14:paraId="7994E94A">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（3）图片及影像资料等信息</w:t>
      </w:r>
    </w:p>
    <w:p w14:paraId="4E093C5C">
      <w:pPr>
        <w:rPr>
          <w:rFonts w:hint="default" w:ascii="方正仿宋_GBK" w:hAnsi="方正仿宋_GBK" w:eastAsia="方正仿宋_GBK" w:cs="方正仿宋_GBK"/>
          <w:kern w:val="0"/>
          <w:sz w:val="32"/>
          <w:szCs w:val="32"/>
          <w:lang w:val="en-US" w:eastAsia="zh-CN"/>
        </w:rPr>
      </w:pPr>
      <w:r>
        <w:rPr>
          <w:rFonts w:hint="default" w:ascii="方正仿宋_GBK" w:hAnsi="方正仿宋_GBK" w:eastAsia="方正仿宋_GBK" w:cs="方正仿宋_GBK"/>
          <w:kern w:val="0"/>
          <w:sz w:val="32"/>
          <w:szCs w:val="32"/>
          <w:lang w:val="en-US" w:eastAsia="zh-CN"/>
        </w:rPr>
        <w:drawing>
          <wp:inline distT="0" distB="0" distL="114300" distR="114300">
            <wp:extent cx="5266690" cy="3511550"/>
            <wp:effectExtent l="0" t="0" r="10160" b="12700"/>
            <wp:docPr id="1" name="图片 1" descr="7d893a9306969be5ab9008db20eb71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d893a9306969be5ab9008db20eb710d"/>
                    <pic:cNvPicPr>
                      <a:picLocks noChangeAspect="1"/>
                    </pic:cNvPicPr>
                  </pic:nvPicPr>
                  <pic:blipFill>
                    <a:blip r:embed="rId4"/>
                    <a:stretch>
                      <a:fillRect/>
                    </a:stretch>
                  </pic:blipFill>
                  <pic:spPr>
                    <a:xfrm>
                      <a:off x="0" y="0"/>
                      <a:ext cx="5266690" cy="3511550"/>
                    </a:xfrm>
                    <a:prstGeom prst="rect">
                      <a:avLst/>
                    </a:prstGeom>
                  </pic:spPr>
                </pic:pic>
              </a:graphicData>
            </a:graphic>
          </wp:inline>
        </w:drawing>
      </w:r>
    </w:p>
    <w:p w14:paraId="01D74199">
      <w:pPr>
        <w:rPr>
          <w:rFonts w:hint="default" w:ascii="方正仿宋_GBK" w:hAnsi="方正仿宋_GBK" w:eastAsia="方正仿宋_GBK" w:cs="方正仿宋_GBK"/>
          <w:kern w:val="0"/>
          <w:sz w:val="32"/>
          <w:szCs w:val="32"/>
          <w:lang w:val="en-US" w:eastAsia="zh-CN"/>
        </w:rPr>
      </w:pPr>
      <w:r>
        <w:rPr>
          <w:rFonts w:hint="default" w:ascii="方正仿宋_GBK" w:hAnsi="方正仿宋_GBK" w:eastAsia="方正仿宋_GBK" w:cs="方正仿宋_GBK"/>
          <w:kern w:val="0"/>
          <w:sz w:val="32"/>
          <w:szCs w:val="32"/>
          <w:lang w:val="en-US" w:eastAsia="zh-CN"/>
        </w:rPr>
        <w:drawing>
          <wp:inline distT="0" distB="0" distL="114300" distR="114300">
            <wp:extent cx="5266690" cy="3511550"/>
            <wp:effectExtent l="0" t="0" r="10160" b="12700"/>
            <wp:docPr id="3" name="图片 3" descr="9363278627b2096c39fc63f2aa698f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9363278627b2096c39fc63f2aa698f4f"/>
                    <pic:cNvPicPr>
                      <a:picLocks noChangeAspect="1"/>
                    </pic:cNvPicPr>
                  </pic:nvPicPr>
                  <pic:blipFill>
                    <a:blip r:embed="rId5"/>
                    <a:stretch>
                      <a:fillRect/>
                    </a:stretch>
                  </pic:blipFill>
                  <pic:spPr>
                    <a:xfrm>
                      <a:off x="0" y="0"/>
                      <a:ext cx="5266690" cy="3511550"/>
                    </a:xfrm>
                    <a:prstGeom prst="rect">
                      <a:avLst/>
                    </a:prstGeom>
                  </pic:spPr>
                </pic:pic>
              </a:graphicData>
            </a:graphic>
          </wp:inline>
        </w:drawing>
      </w:r>
      <w:r>
        <w:rPr>
          <w:rFonts w:hint="default" w:ascii="方正仿宋_GBK" w:hAnsi="方正仿宋_GBK" w:eastAsia="方正仿宋_GBK" w:cs="方正仿宋_GBK"/>
          <w:kern w:val="0"/>
          <w:sz w:val="32"/>
          <w:szCs w:val="32"/>
          <w:lang w:val="en-US" w:eastAsia="zh-CN"/>
        </w:rPr>
        <w:drawing>
          <wp:inline distT="0" distB="0" distL="114300" distR="114300">
            <wp:extent cx="5266690" cy="3506470"/>
            <wp:effectExtent l="0" t="0" r="10160" b="17780"/>
            <wp:docPr id="2" name="图片 2" descr="76dc3565fa2e99cf45d5c4d655da71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6dc3565fa2e99cf45d5c4d655da71d5"/>
                    <pic:cNvPicPr>
                      <a:picLocks noChangeAspect="1"/>
                    </pic:cNvPicPr>
                  </pic:nvPicPr>
                  <pic:blipFill>
                    <a:blip r:embed="rId6"/>
                    <a:stretch>
                      <a:fillRect/>
                    </a:stretch>
                  </pic:blipFill>
                  <pic:spPr>
                    <a:xfrm>
                      <a:off x="0" y="0"/>
                      <a:ext cx="5266690" cy="3506470"/>
                    </a:xfrm>
                    <a:prstGeom prst="rect">
                      <a:avLst/>
                    </a:prstGeom>
                  </pic:spPr>
                </pic:pic>
              </a:graphicData>
            </a:graphic>
          </wp:inline>
        </w:drawing>
      </w:r>
    </w:p>
    <w:p w14:paraId="2A8CFA85">
      <w:pPr>
        <w:rPr>
          <w:rFonts w:hint="default" w:ascii="方正仿宋_GBK" w:hAnsi="方正仿宋_GBK" w:eastAsia="方正仿宋_GBK" w:cs="方正仿宋_GBK"/>
          <w:kern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script"/>
    <w:pitch w:val="default"/>
    <w:sig w:usb0="A00002BF" w:usb1="38CF7CFA" w:usb2="00082016" w:usb3="00000000" w:csb0="00040001" w:csb1="00000000"/>
    <w:embedRegular r:id="rId1" w:fontKey="{1C3DE1D4-4803-4D25-9334-BA181F3CD93D}"/>
  </w:font>
  <w:font w:name="方正黑体_GBK">
    <w:altName w:val="Arial Unicode MS"/>
    <w:panose1 w:val="00000000000000000000"/>
    <w:charset w:val="86"/>
    <w:family w:val="script"/>
    <w:pitch w:val="default"/>
    <w:sig w:usb0="00000000" w:usb1="00000000" w:usb2="00000010" w:usb3="00000000" w:csb0="00040000" w:csb1="00000000"/>
    <w:embedRegular r:id="rId2" w:fontKey="{BB859194-5148-4C44-83BB-6826BDDFE6DF}"/>
  </w:font>
  <w:font w:name="方正楷体_GBK">
    <w:panose1 w:val="02000000000000000000"/>
    <w:charset w:val="86"/>
    <w:family w:val="script"/>
    <w:pitch w:val="default"/>
    <w:sig w:usb0="800002BF" w:usb1="38CF7CFA" w:usb2="00000016" w:usb3="00000000" w:csb0="00040000" w:csb1="00000000"/>
    <w:embedRegular r:id="rId3" w:fontKey="{B4C32E6F-BDAF-4B9D-A7AE-DC67F6A5E8B3}"/>
  </w:font>
  <w:font w:name="仿宋">
    <w:panose1 w:val="02010609060101010101"/>
    <w:charset w:val="86"/>
    <w:family w:val="auto"/>
    <w:pitch w:val="default"/>
    <w:sig w:usb0="800002BF" w:usb1="38CF7CFA" w:usb2="00000016" w:usb3="00000000" w:csb0="00040001" w:csb1="00000000"/>
    <w:embedRegular r:id="rId4" w:fontKey="{592DAC73-A622-43BD-B26B-B492B4FD2211}"/>
  </w:font>
  <w:font w:name="方正仿宋_GBK">
    <w:panose1 w:val="02000000000000000000"/>
    <w:charset w:val="86"/>
    <w:family w:val="auto"/>
    <w:pitch w:val="default"/>
    <w:sig w:usb0="A00002BF" w:usb1="38CF7CFA" w:usb2="00082016" w:usb3="00000000" w:csb0="00040001" w:csb1="00000000"/>
    <w:embedRegular r:id="rId5" w:fontKey="{D6912B4D-81AB-4309-A781-B45B8BD7C146}"/>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187F3B"/>
    <w:multiLevelType w:val="singleLevel"/>
    <w:tmpl w:val="72187F3B"/>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jMTg2MjFmZjAzN2YxNzU3MDFhODllY2Y5MmRjMDQifQ=="/>
    <w:docVar w:name="KSO_WPS_MARK_KEY" w:val="8ca623ec-cc92-4faa-916b-1a0bd5d9bd43"/>
  </w:docVars>
  <w:rsids>
    <w:rsidRoot w:val="72196002"/>
    <w:rsid w:val="001C66E0"/>
    <w:rsid w:val="00ED1E2A"/>
    <w:rsid w:val="01BA61B0"/>
    <w:rsid w:val="02D62352"/>
    <w:rsid w:val="03E31D59"/>
    <w:rsid w:val="04461F7D"/>
    <w:rsid w:val="07AD40C1"/>
    <w:rsid w:val="08492862"/>
    <w:rsid w:val="0BBC7C8E"/>
    <w:rsid w:val="0C0D3381"/>
    <w:rsid w:val="1CD32CF2"/>
    <w:rsid w:val="1E890F8D"/>
    <w:rsid w:val="1EB51D82"/>
    <w:rsid w:val="1F0E3240"/>
    <w:rsid w:val="20073197"/>
    <w:rsid w:val="21763321"/>
    <w:rsid w:val="248249F5"/>
    <w:rsid w:val="25973F8F"/>
    <w:rsid w:val="26644B07"/>
    <w:rsid w:val="2859377E"/>
    <w:rsid w:val="285C22F8"/>
    <w:rsid w:val="29053906"/>
    <w:rsid w:val="2FAC6889"/>
    <w:rsid w:val="2FF808E1"/>
    <w:rsid w:val="305C4FEC"/>
    <w:rsid w:val="3075167C"/>
    <w:rsid w:val="30EE1123"/>
    <w:rsid w:val="31CF7C0A"/>
    <w:rsid w:val="34DA79F4"/>
    <w:rsid w:val="37712FD2"/>
    <w:rsid w:val="38CC509F"/>
    <w:rsid w:val="38E15DB0"/>
    <w:rsid w:val="3C39146E"/>
    <w:rsid w:val="3E0E070F"/>
    <w:rsid w:val="3EAE4CD9"/>
    <w:rsid w:val="40913355"/>
    <w:rsid w:val="40D00013"/>
    <w:rsid w:val="42CA3615"/>
    <w:rsid w:val="42D426D5"/>
    <w:rsid w:val="43A05895"/>
    <w:rsid w:val="44A0379F"/>
    <w:rsid w:val="44D879EE"/>
    <w:rsid w:val="4A6D6718"/>
    <w:rsid w:val="4BAF0C1D"/>
    <w:rsid w:val="4E807407"/>
    <w:rsid w:val="4F5C39D0"/>
    <w:rsid w:val="4FCD667C"/>
    <w:rsid w:val="505320AB"/>
    <w:rsid w:val="534A1D91"/>
    <w:rsid w:val="54506125"/>
    <w:rsid w:val="5559065E"/>
    <w:rsid w:val="5789732C"/>
    <w:rsid w:val="5A0F3962"/>
    <w:rsid w:val="5A5A6D5E"/>
    <w:rsid w:val="5BA36F13"/>
    <w:rsid w:val="5CCD6485"/>
    <w:rsid w:val="5D0E6012"/>
    <w:rsid w:val="5EFF2B6D"/>
    <w:rsid w:val="60A61410"/>
    <w:rsid w:val="63D336DD"/>
    <w:rsid w:val="652C1296"/>
    <w:rsid w:val="66AB2673"/>
    <w:rsid w:val="6BDF3FEE"/>
    <w:rsid w:val="71A10450"/>
    <w:rsid w:val="72196002"/>
    <w:rsid w:val="729A1F96"/>
    <w:rsid w:val="73030E3E"/>
    <w:rsid w:val="73DD4830"/>
    <w:rsid w:val="77925931"/>
    <w:rsid w:val="781C169F"/>
    <w:rsid w:val="7BF604ED"/>
    <w:rsid w:val="7D8E31DE"/>
    <w:rsid w:val="7E4A3A6D"/>
    <w:rsid w:val="7F1255AA"/>
    <w:rsid w:val="7F381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qowt-font7"/>
    <w:basedOn w:val="3"/>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1277</Words>
  <Characters>1314</Characters>
  <Lines>0</Lines>
  <Paragraphs>0</Paragraphs>
  <TotalTime>0</TotalTime>
  <ScaleCrop>false</ScaleCrop>
  <LinksUpToDate>false</LinksUpToDate>
  <CharactersWithSpaces>1322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2023-06-02T02:57:00Z</dcterms:created>
  <dc:creator>吴波</dc:creator>
  <cp:lastModifiedBy>吴波</cp:lastModifiedBy>
  <cp:lastPrinted>2026-06-24T00:51:40Z</cp:lastPrinted>
  <dcterms:modified xsi:type="dcterms:W3CDTF">2026-06-24T01:02:32Z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19AF3CAD04554369A48ADAFC0E957AA3_13</vt:lpwstr>
  </property>
  <property fmtid="{D5CDD505-2E9C-101B-9397-08002B2CF9AE}" pid="4" name="KSOTemplateDocerSaveRecord">
    <vt:lpwstr>eyJoZGlkIjoiZTUzZjM4YjAwODg3MmZmNzM1NGJhZjEzYWUyOGMyY2QiLCJ1c2VySWQiOiI4MTc4OTcxNDkifQ==</vt:lpwstr>
  </property>
</Properties>
</file>