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CA6AAB1">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225" w:beforeAutospacing="0" w:after="375" w:afterAutospacing="0"/>
        <w:ind w:left="0" w:right="0" w:firstLine="0"/>
        <w:jc w:val="center"/>
        <w:rPr>
          <w:rFonts w:hint="default" w:ascii="微软雅黑" w:hAnsi="微软雅黑" w:eastAsia="微软雅黑" w:cs="宋体"/>
          <w:bCs w:val="0"/>
          <w:sz w:val="30"/>
          <w:szCs w:val="30"/>
        </w:rPr>
      </w:pPr>
      <w:r>
        <w:rPr>
          <w:rFonts w:hint="default" w:ascii="微软雅黑" w:hAnsi="微软雅黑" w:eastAsia="微软雅黑" w:cs="宋体"/>
          <w:bCs w:val="0"/>
          <w:sz w:val="30"/>
          <w:szCs w:val="30"/>
        </w:rPr>
        <w:t>关于报送2026年度无锡市水利工程初、中级职称评审材料的通知</w:t>
      </w:r>
    </w:p>
    <w:p w14:paraId="03963D31">
      <w:pPr>
        <w:pStyle w:val="5"/>
        <w:keepNext w:val="0"/>
        <w:keepLines w:val="0"/>
        <w:pageBreakBefore w:val="0"/>
        <w:widowControl/>
        <w:kinsoku/>
        <w:wordWrap/>
        <w:overflowPunct/>
        <w:topLinePunct w:val="0"/>
        <w:autoSpaceDE/>
        <w:autoSpaceDN/>
        <w:bidi w:val="0"/>
        <w:adjustRightInd/>
        <w:snapToGrid/>
        <w:spacing w:before="180" w:beforeAutospacing="0" w:after="180" w:afterAutospacing="0" w:line="560" w:lineRule="exact"/>
        <w:textAlignment w:val="auto"/>
        <w:rPr>
          <w:rFonts w:hint="default" w:asciiTheme="minorEastAsia" w:hAnsiTheme="minorEastAsia" w:eastAsiaTheme="minorEastAsia" w:cstheme="minorEastAsia"/>
          <w:color w:val="333333"/>
        </w:rPr>
      </w:pPr>
      <w:bookmarkStart w:id="0" w:name="_GoBack"/>
      <w:bookmarkEnd w:id="0"/>
      <w:r>
        <w:rPr>
          <w:rFonts w:hint="default" w:asciiTheme="minorEastAsia" w:hAnsiTheme="minorEastAsia" w:eastAsiaTheme="minorEastAsia" w:cstheme="minorEastAsia"/>
          <w:color w:val="333333"/>
        </w:rPr>
        <w:t>各有关单位：</w:t>
      </w:r>
    </w:p>
    <w:p w14:paraId="450B1844">
      <w:pPr>
        <w:pStyle w:val="5"/>
        <w:keepNext w:val="0"/>
        <w:keepLines w:val="0"/>
        <w:pageBreakBefore w:val="0"/>
        <w:widowControl/>
        <w:kinsoku/>
        <w:wordWrap/>
        <w:overflowPunct/>
        <w:topLinePunct w:val="0"/>
        <w:autoSpaceDE/>
        <w:autoSpaceDN/>
        <w:bidi w:val="0"/>
        <w:adjustRightInd/>
        <w:snapToGrid/>
        <w:spacing w:before="180" w:beforeAutospacing="0" w:after="180" w:afterAutospacing="0" w:line="560" w:lineRule="exact"/>
        <w:ind w:firstLine="480" w:firstLineChars="200"/>
        <w:textAlignment w:val="auto"/>
        <w:rPr>
          <w:rFonts w:hint="default" w:asciiTheme="minorEastAsia" w:hAnsiTheme="minorEastAsia" w:eastAsiaTheme="minorEastAsia" w:cstheme="minorEastAsia"/>
          <w:color w:val="333333"/>
        </w:rPr>
      </w:pPr>
      <w:r>
        <w:rPr>
          <w:rFonts w:hint="default" w:asciiTheme="minorEastAsia" w:hAnsiTheme="minorEastAsia" w:eastAsiaTheme="minorEastAsia" w:cstheme="minorEastAsia"/>
          <w:color w:val="333333"/>
        </w:rPr>
        <w:t>根据我市2026年职称工作部署要求，结合水利工作实际，现就我市水利工程专业初、中级资格评审有关事宜通知如下：</w:t>
      </w:r>
    </w:p>
    <w:p w14:paraId="52F17CEB">
      <w:pPr>
        <w:pStyle w:val="5"/>
        <w:keepNext w:val="0"/>
        <w:keepLines w:val="0"/>
        <w:pageBreakBefore w:val="0"/>
        <w:widowControl/>
        <w:kinsoku/>
        <w:wordWrap/>
        <w:overflowPunct/>
        <w:topLinePunct w:val="0"/>
        <w:autoSpaceDE/>
        <w:autoSpaceDN/>
        <w:bidi w:val="0"/>
        <w:adjustRightInd/>
        <w:snapToGrid/>
        <w:spacing w:before="180" w:beforeAutospacing="0" w:after="180" w:afterAutospacing="0" w:line="560" w:lineRule="exact"/>
        <w:ind w:firstLine="480" w:firstLineChars="200"/>
        <w:textAlignment w:val="auto"/>
        <w:rPr>
          <w:rFonts w:hint="default" w:asciiTheme="minorEastAsia" w:hAnsiTheme="minorEastAsia" w:eastAsiaTheme="minorEastAsia" w:cstheme="minorEastAsia"/>
          <w:color w:val="333333"/>
        </w:rPr>
      </w:pPr>
      <w:r>
        <w:rPr>
          <w:rFonts w:hint="default" w:asciiTheme="minorEastAsia" w:hAnsiTheme="minorEastAsia" w:eastAsiaTheme="minorEastAsia" w:cstheme="minorEastAsia"/>
          <w:color w:val="333333"/>
        </w:rPr>
        <w:t>一、 </w:t>
      </w:r>
      <w:r>
        <w:rPr>
          <w:rFonts w:hint="eastAsia" w:asciiTheme="minorEastAsia" w:hAnsiTheme="minorEastAsia" w:eastAsiaTheme="minorEastAsia" w:cstheme="minorEastAsia"/>
          <w:color w:val="333333"/>
        </w:rPr>
        <w:t>申报人员范围</w:t>
      </w:r>
    </w:p>
    <w:p w14:paraId="4727AD8B">
      <w:pPr>
        <w:pStyle w:val="5"/>
        <w:keepNext w:val="0"/>
        <w:keepLines w:val="0"/>
        <w:pageBreakBefore w:val="0"/>
        <w:widowControl/>
        <w:kinsoku/>
        <w:wordWrap/>
        <w:overflowPunct/>
        <w:topLinePunct w:val="0"/>
        <w:autoSpaceDE/>
        <w:autoSpaceDN/>
        <w:bidi w:val="0"/>
        <w:adjustRightInd/>
        <w:snapToGrid/>
        <w:spacing w:before="180" w:beforeAutospacing="0" w:after="180" w:afterAutospacing="0" w:line="560" w:lineRule="exact"/>
        <w:ind w:firstLine="480" w:firstLineChars="200"/>
        <w:textAlignment w:val="auto"/>
        <w:rPr>
          <w:rFonts w:hint="default" w:asciiTheme="minorEastAsia" w:hAnsiTheme="minorEastAsia" w:eastAsiaTheme="minorEastAsia" w:cstheme="minorEastAsia"/>
          <w:color w:val="333333"/>
        </w:rPr>
      </w:pPr>
      <w:r>
        <w:rPr>
          <w:rFonts w:hint="default" w:asciiTheme="minorEastAsia" w:hAnsiTheme="minorEastAsia" w:eastAsiaTheme="minorEastAsia" w:cstheme="minorEastAsia"/>
          <w:color w:val="333333"/>
        </w:rPr>
        <w:t>（一）在我市各类企事业单位、社会组织、个体经济组织等从事专业技术工作，与用人单位建立劳动（聘用）关系的专业技术人才；在我市就业的自由职业专业技术人才；在我市缴纳社保或人事档案在锡的专业技术人才。</w:t>
      </w:r>
    </w:p>
    <w:p w14:paraId="5B4ED8EA">
      <w:pPr>
        <w:pStyle w:val="5"/>
        <w:keepNext w:val="0"/>
        <w:keepLines w:val="0"/>
        <w:pageBreakBefore w:val="0"/>
        <w:widowControl/>
        <w:kinsoku/>
        <w:wordWrap/>
        <w:overflowPunct/>
        <w:topLinePunct w:val="0"/>
        <w:autoSpaceDE/>
        <w:autoSpaceDN/>
        <w:bidi w:val="0"/>
        <w:adjustRightInd/>
        <w:snapToGrid/>
        <w:spacing w:before="180" w:beforeAutospacing="0" w:after="180" w:afterAutospacing="0" w:line="560" w:lineRule="exact"/>
        <w:ind w:firstLine="480" w:firstLineChars="200"/>
        <w:textAlignment w:val="auto"/>
        <w:rPr>
          <w:rFonts w:hint="default" w:asciiTheme="minorEastAsia" w:hAnsiTheme="minorEastAsia" w:eastAsiaTheme="minorEastAsia" w:cstheme="minorEastAsia"/>
          <w:color w:val="333333"/>
        </w:rPr>
      </w:pPr>
      <w:r>
        <w:rPr>
          <w:rFonts w:hint="default" w:asciiTheme="minorEastAsia" w:hAnsiTheme="minorEastAsia" w:eastAsiaTheme="minorEastAsia" w:cstheme="minorEastAsia"/>
          <w:color w:val="333333"/>
        </w:rPr>
        <w:t>（二）在我市就业的港澳台专业技术人才，以及持有外国人来华工作许可证、外国人永久居留身份证或海外高层次人才居住证的外籍人员。</w:t>
      </w:r>
    </w:p>
    <w:p w14:paraId="2ACB3B4A">
      <w:pPr>
        <w:pStyle w:val="5"/>
        <w:keepNext w:val="0"/>
        <w:keepLines w:val="0"/>
        <w:pageBreakBefore w:val="0"/>
        <w:widowControl/>
        <w:kinsoku/>
        <w:wordWrap/>
        <w:overflowPunct/>
        <w:topLinePunct w:val="0"/>
        <w:autoSpaceDE/>
        <w:autoSpaceDN/>
        <w:bidi w:val="0"/>
        <w:adjustRightInd/>
        <w:snapToGrid/>
        <w:spacing w:before="180" w:beforeAutospacing="0" w:after="180" w:afterAutospacing="0" w:line="560" w:lineRule="exact"/>
        <w:ind w:firstLine="480" w:firstLineChars="200"/>
        <w:textAlignment w:val="auto"/>
        <w:rPr>
          <w:rFonts w:hint="default" w:asciiTheme="minorEastAsia" w:hAnsiTheme="minorEastAsia" w:eastAsiaTheme="minorEastAsia" w:cstheme="minorEastAsia"/>
          <w:color w:val="333333"/>
        </w:rPr>
      </w:pPr>
      <w:r>
        <w:rPr>
          <w:rFonts w:hint="default" w:asciiTheme="minorEastAsia" w:hAnsiTheme="minorEastAsia" w:eastAsiaTheme="minorEastAsia" w:cstheme="minorEastAsia"/>
          <w:color w:val="333333"/>
        </w:rPr>
        <w:t>（三）公务员（含列入参照公务员法管理单位的工作人员）、退休人员不得申报职称评审。受到党纪、政务、行政处分的人员，在影响期内不得申报职称评审。</w:t>
      </w:r>
    </w:p>
    <w:p w14:paraId="17880A2C">
      <w:pPr>
        <w:pStyle w:val="5"/>
        <w:keepNext w:val="0"/>
        <w:keepLines w:val="0"/>
        <w:pageBreakBefore w:val="0"/>
        <w:widowControl/>
        <w:kinsoku/>
        <w:wordWrap/>
        <w:overflowPunct/>
        <w:topLinePunct w:val="0"/>
        <w:autoSpaceDE/>
        <w:autoSpaceDN/>
        <w:bidi w:val="0"/>
        <w:adjustRightInd/>
        <w:snapToGrid/>
        <w:spacing w:before="180" w:beforeAutospacing="0" w:after="180" w:afterAutospacing="0" w:line="560" w:lineRule="exact"/>
        <w:ind w:firstLine="480" w:firstLineChars="200"/>
        <w:textAlignment w:val="auto"/>
        <w:rPr>
          <w:rFonts w:hint="default" w:asciiTheme="minorEastAsia" w:hAnsiTheme="minorEastAsia" w:eastAsiaTheme="minorEastAsia" w:cstheme="minorEastAsia"/>
          <w:color w:val="333333"/>
        </w:rPr>
      </w:pPr>
      <w:r>
        <w:rPr>
          <w:rFonts w:hint="eastAsia" w:asciiTheme="minorEastAsia" w:hAnsiTheme="minorEastAsia" w:eastAsiaTheme="minorEastAsia" w:cstheme="minorEastAsia"/>
          <w:color w:val="333333"/>
        </w:rPr>
        <w:t>二、申报评审政策</w:t>
      </w:r>
    </w:p>
    <w:p w14:paraId="36662BFD">
      <w:pPr>
        <w:pStyle w:val="5"/>
        <w:keepNext w:val="0"/>
        <w:keepLines w:val="0"/>
        <w:pageBreakBefore w:val="0"/>
        <w:widowControl/>
        <w:kinsoku/>
        <w:wordWrap/>
        <w:overflowPunct/>
        <w:topLinePunct w:val="0"/>
        <w:autoSpaceDE/>
        <w:autoSpaceDN/>
        <w:bidi w:val="0"/>
        <w:adjustRightInd/>
        <w:snapToGrid/>
        <w:spacing w:before="180" w:beforeAutospacing="0" w:after="180" w:afterAutospacing="0" w:line="560" w:lineRule="exact"/>
        <w:ind w:firstLine="480" w:firstLineChars="200"/>
        <w:textAlignment w:val="auto"/>
        <w:rPr>
          <w:rFonts w:hint="default" w:asciiTheme="minorEastAsia" w:hAnsiTheme="minorEastAsia" w:eastAsiaTheme="minorEastAsia" w:cstheme="minorEastAsia"/>
          <w:color w:val="333333"/>
        </w:rPr>
      </w:pPr>
      <w:r>
        <w:rPr>
          <w:rFonts w:hint="default" w:asciiTheme="minorEastAsia" w:hAnsiTheme="minorEastAsia" w:eastAsiaTheme="minorEastAsia" w:cstheme="minorEastAsia"/>
          <w:color w:val="333333"/>
        </w:rPr>
        <w:t>（一）水利工程专业技术人才申报工程师评审应按照人力资源社会保障部和我省有关规定及《省专业技术人员职称（职业资格）工作领导小组关于印发&lt;江苏省水利工程专业技术资格条件（试行）&gt;的通知》（苏职称〔2021〕20号）执行。申报职称的资历（任职年限）截止时间为2025年12月31日，申报职称的业绩成果、论文、学历（学位）等截止时间为2026年3月31日。</w:t>
      </w:r>
    </w:p>
    <w:p w14:paraId="1B9636A8">
      <w:pPr>
        <w:pStyle w:val="5"/>
        <w:keepNext w:val="0"/>
        <w:keepLines w:val="0"/>
        <w:pageBreakBefore w:val="0"/>
        <w:widowControl/>
        <w:kinsoku/>
        <w:wordWrap/>
        <w:overflowPunct/>
        <w:topLinePunct w:val="0"/>
        <w:autoSpaceDE/>
        <w:autoSpaceDN/>
        <w:bidi w:val="0"/>
        <w:adjustRightInd/>
        <w:snapToGrid/>
        <w:spacing w:before="180" w:beforeAutospacing="0" w:after="180" w:afterAutospacing="0" w:line="560" w:lineRule="exact"/>
        <w:ind w:firstLine="480" w:firstLineChars="200"/>
        <w:textAlignment w:val="auto"/>
        <w:rPr>
          <w:rFonts w:hint="default" w:asciiTheme="minorEastAsia" w:hAnsiTheme="minorEastAsia" w:eastAsiaTheme="minorEastAsia" w:cstheme="minorEastAsia"/>
          <w:color w:val="333333"/>
        </w:rPr>
      </w:pPr>
      <w:r>
        <w:rPr>
          <w:rFonts w:hint="default" w:asciiTheme="minorEastAsia" w:hAnsiTheme="minorEastAsia" w:eastAsiaTheme="minorEastAsia" w:cstheme="minorEastAsia"/>
          <w:color w:val="333333"/>
        </w:rPr>
        <w:t>（二）海外归国人员、党政机关交流或部队转业安置到企事业单位从事专业技术工作的人员，首次申报职称时可根据专业水平和工作业绩并参照同类人员评审标准，直接申报相应职称。民营企业高层次专业技术人才、急需紧缺人才、优秀青年人才可按规定直接申报评审相应层级职称。上述人员在所在单位内部公示时，应将除涉密内容外的业绩材料单独公示。</w:t>
      </w:r>
    </w:p>
    <w:p w14:paraId="39D7DCBE">
      <w:pPr>
        <w:pStyle w:val="5"/>
        <w:keepNext w:val="0"/>
        <w:keepLines w:val="0"/>
        <w:pageBreakBefore w:val="0"/>
        <w:widowControl/>
        <w:kinsoku/>
        <w:wordWrap/>
        <w:overflowPunct/>
        <w:topLinePunct w:val="0"/>
        <w:autoSpaceDE/>
        <w:autoSpaceDN/>
        <w:bidi w:val="0"/>
        <w:adjustRightInd/>
        <w:snapToGrid/>
        <w:spacing w:before="180" w:beforeAutospacing="0" w:after="180" w:afterAutospacing="0" w:line="560" w:lineRule="exact"/>
        <w:ind w:firstLine="480" w:firstLineChars="200"/>
        <w:textAlignment w:val="auto"/>
        <w:rPr>
          <w:rFonts w:hint="default" w:asciiTheme="minorEastAsia" w:hAnsiTheme="minorEastAsia" w:eastAsiaTheme="minorEastAsia" w:cstheme="minorEastAsia"/>
          <w:color w:val="333333"/>
        </w:rPr>
      </w:pPr>
      <w:r>
        <w:rPr>
          <w:rFonts w:hint="default" w:asciiTheme="minorEastAsia" w:hAnsiTheme="minorEastAsia" w:eastAsiaTheme="minorEastAsia" w:cstheme="minorEastAsia"/>
          <w:color w:val="333333"/>
        </w:rPr>
        <w:t>（三）高技能人才申报职称评审，按照《省人力资源社会保障厅关于印发〈江苏省高技能人才与专业技术人才职业发展贯通改革实施方案〉的通知》（苏人社发〔2021〕132号）规定执行。</w:t>
      </w:r>
    </w:p>
    <w:p w14:paraId="7291C229">
      <w:pPr>
        <w:pStyle w:val="5"/>
        <w:keepNext w:val="0"/>
        <w:keepLines w:val="0"/>
        <w:pageBreakBefore w:val="0"/>
        <w:widowControl/>
        <w:kinsoku/>
        <w:wordWrap/>
        <w:overflowPunct/>
        <w:topLinePunct w:val="0"/>
        <w:autoSpaceDE/>
        <w:autoSpaceDN/>
        <w:bidi w:val="0"/>
        <w:adjustRightInd/>
        <w:snapToGrid/>
        <w:spacing w:before="180" w:beforeAutospacing="0" w:after="180" w:afterAutospacing="0" w:line="560" w:lineRule="exact"/>
        <w:ind w:firstLine="480" w:firstLineChars="200"/>
        <w:textAlignment w:val="auto"/>
        <w:rPr>
          <w:rFonts w:hint="default" w:asciiTheme="minorEastAsia" w:hAnsiTheme="minorEastAsia" w:eastAsiaTheme="minorEastAsia" w:cstheme="minorEastAsia"/>
          <w:color w:val="333333"/>
        </w:rPr>
      </w:pPr>
      <w:r>
        <w:rPr>
          <w:rFonts w:hint="default" w:asciiTheme="minorEastAsia" w:hAnsiTheme="minorEastAsia" w:eastAsiaTheme="minorEastAsia" w:cstheme="minorEastAsia"/>
          <w:color w:val="333333"/>
        </w:rPr>
        <w:t>（四）对取得相关专业技术人员职业资格的人员，按照《省人力资源社会保障厅关于调整〈江苏省专业技术类职业资格和职称对应目录〉的通知》（苏人社发〔2019〕183号）执行。对于持有相关国际职业资格的海外人才，按照《省人力资源社会保障厅关于印发国际职业资格与高级职称比照认定目录（2024版）的通知》（苏人社函〔2024〕369号）执行。</w:t>
      </w:r>
    </w:p>
    <w:p w14:paraId="39995261">
      <w:pPr>
        <w:pStyle w:val="5"/>
        <w:keepNext w:val="0"/>
        <w:keepLines w:val="0"/>
        <w:pageBreakBefore w:val="0"/>
        <w:widowControl/>
        <w:kinsoku/>
        <w:wordWrap/>
        <w:overflowPunct/>
        <w:topLinePunct w:val="0"/>
        <w:autoSpaceDE/>
        <w:autoSpaceDN/>
        <w:bidi w:val="0"/>
        <w:adjustRightInd/>
        <w:snapToGrid/>
        <w:spacing w:before="180" w:beforeAutospacing="0" w:after="180" w:afterAutospacing="0" w:line="560" w:lineRule="exact"/>
        <w:ind w:firstLine="480" w:firstLineChars="200"/>
        <w:textAlignment w:val="auto"/>
        <w:rPr>
          <w:rFonts w:hint="default" w:asciiTheme="minorEastAsia" w:hAnsiTheme="minorEastAsia" w:eastAsiaTheme="minorEastAsia" w:cstheme="minorEastAsia"/>
          <w:color w:val="333333"/>
        </w:rPr>
      </w:pPr>
      <w:r>
        <w:rPr>
          <w:rFonts w:hint="default" w:asciiTheme="minorEastAsia" w:hAnsiTheme="minorEastAsia" w:eastAsiaTheme="minorEastAsia" w:cstheme="minorEastAsia"/>
          <w:color w:val="333333"/>
        </w:rPr>
        <w:t>（五）专业技术人员参加继续教育情况列为职称晋升的重要条件，按照《江苏省专业技术人员继续教育条例》和相关政策规定执行。</w:t>
      </w:r>
    </w:p>
    <w:p w14:paraId="59C656BB">
      <w:pPr>
        <w:pStyle w:val="5"/>
        <w:keepNext w:val="0"/>
        <w:keepLines w:val="0"/>
        <w:pageBreakBefore w:val="0"/>
        <w:widowControl/>
        <w:kinsoku/>
        <w:wordWrap/>
        <w:overflowPunct/>
        <w:topLinePunct w:val="0"/>
        <w:autoSpaceDE/>
        <w:autoSpaceDN/>
        <w:bidi w:val="0"/>
        <w:adjustRightInd/>
        <w:snapToGrid/>
        <w:spacing w:before="180" w:beforeAutospacing="0" w:after="180" w:afterAutospacing="0" w:line="560" w:lineRule="exact"/>
        <w:ind w:firstLine="480" w:firstLineChars="200"/>
        <w:textAlignment w:val="auto"/>
        <w:rPr>
          <w:rFonts w:hint="default" w:asciiTheme="minorEastAsia" w:hAnsiTheme="minorEastAsia" w:eastAsiaTheme="minorEastAsia" w:cstheme="minorEastAsia"/>
          <w:color w:val="333333"/>
        </w:rPr>
      </w:pPr>
      <w:r>
        <w:rPr>
          <w:rFonts w:hint="default" w:asciiTheme="minorEastAsia" w:hAnsiTheme="minorEastAsia" w:eastAsiaTheme="minorEastAsia" w:cstheme="minorEastAsia"/>
          <w:color w:val="333333"/>
        </w:rPr>
        <w:t>（六）2025年评审未通过者，2026年不能提供有效反映其新增业绩成果评审材料的，各单位不得受理、报送其2026年度职称评审申报材料。</w:t>
      </w:r>
    </w:p>
    <w:p w14:paraId="04B4D44B">
      <w:pPr>
        <w:pStyle w:val="5"/>
        <w:keepNext w:val="0"/>
        <w:keepLines w:val="0"/>
        <w:pageBreakBefore w:val="0"/>
        <w:widowControl/>
        <w:kinsoku/>
        <w:wordWrap/>
        <w:overflowPunct/>
        <w:topLinePunct w:val="0"/>
        <w:autoSpaceDE/>
        <w:autoSpaceDN/>
        <w:bidi w:val="0"/>
        <w:adjustRightInd/>
        <w:snapToGrid/>
        <w:spacing w:before="180" w:beforeAutospacing="0" w:after="180" w:afterAutospacing="0" w:line="560" w:lineRule="exact"/>
        <w:ind w:firstLine="480" w:firstLineChars="200"/>
        <w:textAlignment w:val="auto"/>
        <w:rPr>
          <w:rFonts w:hint="default" w:asciiTheme="minorEastAsia" w:hAnsiTheme="minorEastAsia" w:eastAsiaTheme="minorEastAsia" w:cstheme="minorEastAsia"/>
          <w:color w:val="333333"/>
        </w:rPr>
      </w:pPr>
      <w:r>
        <w:rPr>
          <w:rFonts w:hint="eastAsia" w:asciiTheme="minorEastAsia" w:hAnsiTheme="minorEastAsia" w:eastAsiaTheme="minorEastAsia" w:cstheme="minorEastAsia"/>
          <w:color w:val="333333"/>
        </w:rPr>
        <w:t>三、申报审核要求</w:t>
      </w:r>
    </w:p>
    <w:p w14:paraId="62771C76">
      <w:pPr>
        <w:pStyle w:val="5"/>
        <w:keepNext w:val="0"/>
        <w:keepLines w:val="0"/>
        <w:pageBreakBefore w:val="0"/>
        <w:widowControl/>
        <w:kinsoku/>
        <w:wordWrap/>
        <w:overflowPunct/>
        <w:topLinePunct w:val="0"/>
        <w:autoSpaceDE/>
        <w:autoSpaceDN/>
        <w:bidi w:val="0"/>
        <w:adjustRightInd/>
        <w:snapToGrid/>
        <w:spacing w:before="180" w:beforeAutospacing="0" w:after="180" w:afterAutospacing="0" w:line="560" w:lineRule="exact"/>
        <w:ind w:firstLine="480" w:firstLineChars="200"/>
        <w:textAlignment w:val="auto"/>
        <w:rPr>
          <w:rFonts w:hint="default" w:asciiTheme="minorEastAsia" w:hAnsiTheme="minorEastAsia" w:eastAsiaTheme="minorEastAsia" w:cstheme="minorEastAsia"/>
          <w:color w:val="333333"/>
        </w:rPr>
      </w:pPr>
      <w:r>
        <w:rPr>
          <w:rFonts w:hint="default" w:asciiTheme="minorEastAsia" w:hAnsiTheme="minorEastAsia" w:eastAsiaTheme="minorEastAsia" w:cstheme="minorEastAsia"/>
          <w:color w:val="333333"/>
        </w:rPr>
        <w:t>（一）所有材料须原件扫描上传。上传材料中有外文的，须翻译成中文，并以中文材料为准。项目类经历和业绩的证明材料须有该项目的负责人或技术负责人签字证明。</w:t>
      </w:r>
    </w:p>
    <w:p w14:paraId="4A25621C">
      <w:pPr>
        <w:pStyle w:val="5"/>
        <w:keepNext w:val="0"/>
        <w:keepLines w:val="0"/>
        <w:pageBreakBefore w:val="0"/>
        <w:widowControl/>
        <w:kinsoku/>
        <w:wordWrap/>
        <w:overflowPunct/>
        <w:topLinePunct w:val="0"/>
        <w:autoSpaceDE/>
        <w:autoSpaceDN/>
        <w:bidi w:val="0"/>
        <w:adjustRightInd/>
        <w:snapToGrid/>
        <w:spacing w:before="180" w:beforeAutospacing="0" w:after="180" w:afterAutospacing="0" w:line="560" w:lineRule="exact"/>
        <w:ind w:firstLine="480" w:firstLineChars="200"/>
        <w:textAlignment w:val="auto"/>
        <w:rPr>
          <w:rFonts w:hint="default" w:asciiTheme="minorEastAsia" w:hAnsiTheme="minorEastAsia" w:eastAsiaTheme="minorEastAsia" w:cstheme="minorEastAsia"/>
          <w:color w:val="333333"/>
        </w:rPr>
      </w:pPr>
      <w:r>
        <w:rPr>
          <w:rFonts w:hint="default" w:asciiTheme="minorEastAsia" w:hAnsiTheme="minorEastAsia" w:eastAsiaTheme="minorEastAsia" w:cstheme="minorEastAsia"/>
          <w:color w:val="333333"/>
        </w:rPr>
        <w:t>（二）关于学术成果。论文或论著一般要求独立完成或以第一作者撰写。若是外文撰写或发表的，需同时提供中文译稿，专家审核时以中文内容为准。如发表论文被重要检索系统收录，请在线填报该论文时上传相应证明。上传的附件证明材料须有审核人员签字和单位印章。大学毕业或学位论文，以及项目（工程）设计说明书、产品说明书，可行性研究、立项申请、结题报告以及项目技术报告、测试报告，产品标准，专利申请报告等不可作为申报论文。杜绝无实质性意义的虚假挂名，不将无实质性应用价值的论文作为应用型人才职称评审的业绩成果，不将论文作为职称评审的主要评价指标。</w:t>
      </w:r>
    </w:p>
    <w:p w14:paraId="05E7C79A">
      <w:pPr>
        <w:pStyle w:val="5"/>
        <w:keepNext w:val="0"/>
        <w:keepLines w:val="0"/>
        <w:pageBreakBefore w:val="0"/>
        <w:widowControl/>
        <w:kinsoku/>
        <w:wordWrap/>
        <w:overflowPunct/>
        <w:topLinePunct w:val="0"/>
        <w:autoSpaceDE/>
        <w:autoSpaceDN/>
        <w:bidi w:val="0"/>
        <w:adjustRightInd/>
        <w:snapToGrid/>
        <w:spacing w:before="180" w:beforeAutospacing="0" w:after="180" w:afterAutospacing="0" w:line="560" w:lineRule="exact"/>
        <w:ind w:firstLine="480" w:firstLineChars="200"/>
        <w:textAlignment w:val="auto"/>
        <w:rPr>
          <w:rFonts w:hint="default" w:asciiTheme="minorEastAsia" w:hAnsiTheme="minorEastAsia" w:eastAsiaTheme="minorEastAsia" w:cstheme="minorEastAsia"/>
          <w:color w:val="333333"/>
        </w:rPr>
      </w:pPr>
      <w:r>
        <w:rPr>
          <w:rFonts w:hint="default" w:asciiTheme="minorEastAsia" w:hAnsiTheme="minorEastAsia" w:eastAsiaTheme="minorEastAsia" w:cstheme="minorEastAsia"/>
          <w:color w:val="333333"/>
        </w:rPr>
        <w:t>对于已发表的论文、论著，在上传PDF文件时，须提供国家新闻出版署和知网（万方、维普）官网查询结果截图并与论文、论著的封面、目录、前言、有关编审人员的说明、文章全文或参与编写主要章节等扫描在一个文档中。</w:t>
      </w:r>
    </w:p>
    <w:p w14:paraId="35E818D6">
      <w:pPr>
        <w:pStyle w:val="5"/>
        <w:keepNext w:val="0"/>
        <w:keepLines w:val="0"/>
        <w:pageBreakBefore w:val="0"/>
        <w:widowControl/>
        <w:kinsoku/>
        <w:wordWrap/>
        <w:overflowPunct/>
        <w:topLinePunct w:val="0"/>
        <w:autoSpaceDE/>
        <w:autoSpaceDN/>
        <w:bidi w:val="0"/>
        <w:adjustRightInd/>
        <w:snapToGrid/>
        <w:spacing w:before="180" w:beforeAutospacing="0" w:after="180" w:afterAutospacing="0" w:line="560" w:lineRule="exact"/>
        <w:ind w:firstLine="480" w:firstLineChars="200"/>
        <w:textAlignment w:val="auto"/>
        <w:rPr>
          <w:rFonts w:hint="default" w:asciiTheme="minorEastAsia" w:hAnsiTheme="minorEastAsia" w:eastAsiaTheme="minorEastAsia" w:cstheme="minorEastAsia"/>
          <w:color w:val="333333"/>
        </w:rPr>
      </w:pPr>
      <w:r>
        <w:rPr>
          <w:rFonts w:hint="default" w:asciiTheme="minorEastAsia" w:hAnsiTheme="minorEastAsia" w:eastAsiaTheme="minorEastAsia" w:cstheme="minorEastAsia"/>
          <w:color w:val="333333"/>
        </w:rPr>
        <w:t>申报人员必须完成并上传1篇以上技术总结（不少于3000字）。技术总结应是申报人员在任职期内承担的科研项目、生产项目、工程项目或技术改造等的技术工作，由本人独立撰写，技术总结应阐明项目水平，并写明本人在项目中所承担的岗位职责、专业技术能力、创造性的作用贡献以及解决的技术难题等。为确保申报人员参与项目的真实性，技术总结的项目须与“业绩材料”模块上传的项目（含立项、结项、验收、鉴定等相关材料）一致。</w:t>
      </w:r>
    </w:p>
    <w:p w14:paraId="44D81BAB">
      <w:pPr>
        <w:pStyle w:val="5"/>
        <w:keepNext w:val="0"/>
        <w:keepLines w:val="0"/>
        <w:pageBreakBefore w:val="0"/>
        <w:widowControl/>
        <w:kinsoku/>
        <w:wordWrap/>
        <w:overflowPunct/>
        <w:topLinePunct w:val="0"/>
        <w:autoSpaceDE/>
        <w:autoSpaceDN/>
        <w:bidi w:val="0"/>
        <w:adjustRightInd/>
        <w:snapToGrid/>
        <w:spacing w:before="180" w:beforeAutospacing="0" w:after="180" w:afterAutospacing="0" w:line="560" w:lineRule="exact"/>
        <w:ind w:firstLine="480" w:firstLineChars="200"/>
        <w:textAlignment w:val="auto"/>
        <w:rPr>
          <w:rFonts w:hint="default" w:asciiTheme="minorEastAsia" w:hAnsiTheme="minorEastAsia" w:eastAsiaTheme="minorEastAsia" w:cstheme="minorEastAsia"/>
          <w:color w:val="333333"/>
        </w:rPr>
      </w:pPr>
      <w:r>
        <w:rPr>
          <w:rFonts w:hint="default" w:asciiTheme="minorEastAsia" w:hAnsiTheme="minorEastAsia" w:eastAsiaTheme="minorEastAsia" w:cstheme="minorEastAsia"/>
          <w:color w:val="333333"/>
        </w:rPr>
        <w:t>（三）关于学历问题。国（境）外取得的学历或学位，须经教育部留学服务中心审核认定并提供学历学位认证书；国内取得的学历，如未能读取到学信网数据或审核人员有疑问的，应上传《毕业生登记表》复印件，此表应从个人档案中复印，并加盖档案管理部门印章；军队院校学历，须提供上传相应的《军队干部转业审批报告表》、《退出现役登记表》、《高考考生登记表》或招生计划等相关证明材料。以上相关证明材料与毕业证做在一个PDF文档中。技工院校中级工班、高级工班、预备技师（技师）班毕业生在参加职称评定时分别视同中专、大专、本科学历。</w:t>
      </w:r>
    </w:p>
    <w:p w14:paraId="590028F4">
      <w:pPr>
        <w:pStyle w:val="5"/>
        <w:keepNext w:val="0"/>
        <w:keepLines w:val="0"/>
        <w:pageBreakBefore w:val="0"/>
        <w:widowControl/>
        <w:kinsoku/>
        <w:wordWrap/>
        <w:overflowPunct/>
        <w:topLinePunct w:val="0"/>
        <w:autoSpaceDE/>
        <w:autoSpaceDN/>
        <w:bidi w:val="0"/>
        <w:adjustRightInd/>
        <w:snapToGrid/>
        <w:spacing w:before="180" w:beforeAutospacing="0" w:after="180" w:afterAutospacing="0" w:line="560" w:lineRule="exact"/>
        <w:ind w:firstLine="480" w:firstLineChars="200"/>
        <w:textAlignment w:val="auto"/>
        <w:rPr>
          <w:rFonts w:hint="default" w:asciiTheme="minorEastAsia" w:hAnsiTheme="minorEastAsia" w:eastAsiaTheme="minorEastAsia" w:cstheme="minorEastAsia"/>
          <w:color w:val="333333"/>
        </w:rPr>
      </w:pPr>
      <w:r>
        <w:rPr>
          <w:rFonts w:hint="default" w:asciiTheme="minorEastAsia" w:hAnsiTheme="minorEastAsia" w:eastAsiaTheme="minorEastAsia" w:cstheme="minorEastAsia"/>
          <w:color w:val="333333"/>
        </w:rPr>
        <w:t>（四）实行个人申报诚信承诺制。申报人员提交申报材料时应同时签订《个人承诺书》，对申报材料真实性等进行承诺，审核、评审过程中发现承诺不实的，取消参评资格，3年内不得申报职称评审；评审通过后发现承诺不实的，按规定撤销职称，3年内不得申报职称评审。审核方对申报材料存疑，可要求申报人现场确认；评审通过人员将按比例核查，申报单位和个人需全力配合，拒不配合的，默认承诺不实。</w:t>
      </w:r>
    </w:p>
    <w:p w14:paraId="1673796B">
      <w:pPr>
        <w:pStyle w:val="5"/>
        <w:keepNext w:val="0"/>
        <w:keepLines w:val="0"/>
        <w:pageBreakBefore w:val="0"/>
        <w:widowControl/>
        <w:kinsoku/>
        <w:wordWrap/>
        <w:overflowPunct/>
        <w:topLinePunct w:val="0"/>
        <w:autoSpaceDE/>
        <w:autoSpaceDN/>
        <w:bidi w:val="0"/>
        <w:adjustRightInd/>
        <w:snapToGrid/>
        <w:spacing w:before="180" w:beforeAutospacing="0" w:after="180" w:afterAutospacing="0" w:line="560" w:lineRule="exact"/>
        <w:ind w:firstLine="480" w:firstLineChars="200"/>
        <w:textAlignment w:val="auto"/>
        <w:rPr>
          <w:rFonts w:hint="default" w:asciiTheme="minorEastAsia" w:hAnsiTheme="minorEastAsia" w:eastAsiaTheme="minorEastAsia" w:cstheme="minorEastAsia"/>
          <w:color w:val="333333"/>
        </w:rPr>
      </w:pPr>
      <w:r>
        <w:rPr>
          <w:rFonts w:hint="default" w:asciiTheme="minorEastAsia" w:hAnsiTheme="minorEastAsia" w:eastAsiaTheme="minorEastAsia" w:cstheme="minorEastAsia"/>
          <w:color w:val="333333"/>
        </w:rPr>
        <w:t>（五）实行单位审核负责制。申报人所在单位应当严肃审核推荐程序，组织专人负责审核工作，审核人员必须为本单位缴纳社保人员，主要审核申报人申报资格，以及申报材料的真实性、完整性和时效性，做到公开公平公正。对于用人单位未按规定履行申报材料审核、推荐职责，放纵、包庇或者协助申报人弄虚作假；未按规定进行申报材料公示、对公示有异议或者投诉举报问题未及时调查核实；未按照职称评审管理权限及时上报申报材料，以及其他违规行为的，对直接负责的主管人员和其他直接责任人员予以批评教育，视情况进行通报批评，并追究相关人员责任。</w:t>
      </w:r>
    </w:p>
    <w:p w14:paraId="6731A78B">
      <w:pPr>
        <w:pStyle w:val="5"/>
        <w:keepNext w:val="0"/>
        <w:keepLines w:val="0"/>
        <w:pageBreakBefore w:val="0"/>
        <w:widowControl/>
        <w:kinsoku/>
        <w:wordWrap/>
        <w:overflowPunct/>
        <w:topLinePunct w:val="0"/>
        <w:autoSpaceDE/>
        <w:autoSpaceDN/>
        <w:bidi w:val="0"/>
        <w:adjustRightInd/>
        <w:snapToGrid/>
        <w:spacing w:before="180" w:beforeAutospacing="0" w:after="180" w:afterAutospacing="0" w:line="560" w:lineRule="exact"/>
        <w:ind w:firstLine="480" w:firstLineChars="200"/>
        <w:textAlignment w:val="auto"/>
        <w:rPr>
          <w:rFonts w:hint="default" w:asciiTheme="minorEastAsia" w:hAnsiTheme="minorEastAsia" w:eastAsiaTheme="minorEastAsia" w:cstheme="minorEastAsia"/>
          <w:color w:val="333333"/>
        </w:rPr>
      </w:pPr>
      <w:r>
        <w:rPr>
          <w:rFonts w:hint="default" w:asciiTheme="minorEastAsia" w:hAnsiTheme="minorEastAsia" w:eastAsiaTheme="minorEastAsia" w:cstheme="minorEastAsia"/>
          <w:color w:val="333333"/>
        </w:rPr>
        <w:t>（六）申报人存在《江苏省职称评审管理办法》所列违规行为的，记入诚信档案库，记录期限为3年，作为以后申报评审职称的重要参考。</w:t>
      </w:r>
    </w:p>
    <w:p w14:paraId="59428152">
      <w:pPr>
        <w:pStyle w:val="5"/>
        <w:keepNext w:val="0"/>
        <w:keepLines w:val="0"/>
        <w:pageBreakBefore w:val="0"/>
        <w:widowControl/>
        <w:kinsoku/>
        <w:wordWrap/>
        <w:overflowPunct/>
        <w:topLinePunct w:val="0"/>
        <w:autoSpaceDE/>
        <w:autoSpaceDN/>
        <w:bidi w:val="0"/>
        <w:adjustRightInd/>
        <w:snapToGrid/>
        <w:spacing w:before="180" w:beforeAutospacing="0" w:after="180" w:afterAutospacing="0" w:line="560" w:lineRule="exact"/>
        <w:ind w:firstLine="480" w:firstLineChars="200"/>
        <w:textAlignment w:val="auto"/>
        <w:rPr>
          <w:rFonts w:hint="default" w:asciiTheme="minorEastAsia" w:hAnsiTheme="minorEastAsia" w:eastAsiaTheme="minorEastAsia" w:cstheme="minorEastAsia"/>
          <w:color w:val="333333"/>
        </w:rPr>
      </w:pPr>
      <w:r>
        <w:rPr>
          <w:rFonts w:hint="eastAsia" w:asciiTheme="minorEastAsia" w:hAnsiTheme="minorEastAsia" w:eastAsiaTheme="minorEastAsia" w:cstheme="minorEastAsia"/>
          <w:color w:val="333333"/>
        </w:rPr>
        <w:t>四、申报材料提交要求</w:t>
      </w:r>
    </w:p>
    <w:p w14:paraId="4CA41133">
      <w:pPr>
        <w:pStyle w:val="5"/>
        <w:keepNext w:val="0"/>
        <w:keepLines w:val="0"/>
        <w:pageBreakBefore w:val="0"/>
        <w:widowControl/>
        <w:kinsoku/>
        <w:wordWrap/>
        <w:overflowPunct/>
        <w:topLinePunct w:val="0"/>
        <w:autoSpaceDE/>
        <w:autoSpaceDN/>
        <w:bidi w:val="0"/>
        <w:adjustRightInd/>
        <w:snapToGrid/>
        <w:spacing w:before="180" w:beforeAutospacing="0" w:after="180" w:afterAutospacing="0" w:line="560" w:lineRule="exact"/>
        <w:ind w:firstLine="480" w:firstLineChars="200"/>
        <w:textAlignment w:val="auto"/>
        <w:rPr>
          <w:rFonts w:hint="default" w:asciiTheme="minorEastAsia" w:hAnsiTheme="minorEastAsia" w:eastAsiaTheme="minorEastAsia" w:cstheme="minorEastAsia"/>
          <w:color w:val="333333"/>
        </w:rPr>
      </w:pPr>
      <w:r>
        <w:rPr>
          <w:rFonts w:hint="default" w:asciiTheme="minorEastAsia" w:hAnsiTheme="minorEastAsia" w:eastAsiaTheme="minorEastAsia" w:cstheme="minorEastAsia"/>
          <w:color w:val="333333"/>
        </w:rPr>
        <w:t>职称申报采取网上申报形式，网上申报时间：2026年7月20日到8月26。申报人员应实名登录江苏省人才服务云平台（https://www.jssrcfwypt.org.cn/）职称专栏，在线如实填报相关申报信息。职称申报需要提交《水利工程专业技术资格申报审核表》纸质件和《省水利工程专业技术资格申报评审情况一览表》电子件，申报材料报送时间为8月19日至8月28日（工作时间），逾期不予受理。联系人：陆文伟，联系电话：80109059；电子邮箱：</w:t>
      </w:r>
      <w:r>
        <w:rPr>
          <w:rFonts w:hint="default" w:asciiTheme="minorEastAsia" w:hAnsiTheme="minorEastAsia" w:eastAsiaTheme="minorEastAsia" w:cstheme="minorEastAsia"/>
          <w:color w:val="333333"/>
        </w:rPr>
        <w:fldChar w:fldCharType="begin"/>
      </w:r>
      <w:r>
        <w:rPr>
          <w:rFonts w:hint="default" w:asciiTheme="minorEastAsia" w:hAnsiTheme="minorEastAsia" w:eastAsiaTheme="minorEastAsia" w:cstheme="minorEastAsia"/>
          <w:color w:val="333333"/>
        </w:rPr>
        <w:instrText xml:space="preserve"> HYPERLINK "mailto:2335784833@qq.com%E3%80%82" </w:instrText>
      </w:r>
      <w:r>
        <w:rPr>
          <w:rFonts w:hint="default" w:asciiTheme="minorEastAsia" w:hAnsiTheme="minorEastAsia" w:eastAsiaTheme="minorEastAsia" w:cstheme="minorEastAsia"/>
          <w:color w:val="333333"/>
        </w:rPr>
        <w:fldChar w:fldCharType="separate"/>
      </w:r>
      <w:r>
        <w:rPr>
          <w:rFonts w:hint="default" w:asciiTheme="minorEastAsia" w:hAnsiTheme="minorEastAsia" w:eastAsiaTheme="minorEastAsia" w:cstheme="minorEastAsia"/>
          <w:color w:val="333333"/>
        </w:rPr>
        <w:t>2335784833@qq.com。</w:t>
      </w:r>
      <w:r>
        <w:rPr>
          <w:rFonts w:hint="default" w:asciiTheme="minorEastAsia" w:hAnsiTheme="minorEastAsia" w:eastAsiaTheme="minorEastAsia" w:cstheme="minorEastAsia"/>
          <w:color w:val="333333"/>
        </w:rPr>
        <w:fldChar w:fldCharType="end"/>
      </w:r>
    </w:p>
    <w:p w14:paraId="322FBFE2">
      <w:pPr>
        <w:pStyle w:val="5"/>
        <w:keepNext w:val="0"/>
        <w:keepLines w:val="0"/>
        <w:pageBreakBefore w:val="0"/>
        <w:widowControl/>
        <w:kinsoku/>
        <w:wordWrap/>
        <w:overflowPunct/>
        <w:topLinePunct w:val="0"/>
        <w:autoSpaceDE/>
        <w:autoSpaceDN/>
        <w:bidi w:val="0"/>
        <w:adjustRightInd/>
        <w:snapToGrid/>
        <w:spacing w:before="180" w:beforeAutospacing="0" w:after="180" w:afterAutospacing="0" w:line="560" w:lineRule="exact"/>
        <w:ind w:firstLine="480" w:firstLineChars="200"/>
        <w:textAlignment w:val="auto"/>
        <w:rPr>
          <w:rFonts w:hint="default" w:asciiTheme="minorEastAsia" w:hAnsiTheme="minorEastAsia" w:eastAsiaTheme="minorEastAsia" w:cstheme="minorEastAsia"/>
          <w:color w:val="333333"/>
        </w:rPr>
      </w:pPr>
      <w:r>
        <w:rPr>
          <w:rFonts w:hint="default" w:asciiTheme="minorEastAsia" w:hAnsiTheme="minorEastAsia" w:eastAsiaTheme="minorEastAsia" w:cstheme="minorEastAsia"/>
          <w:color w:val="333333"/>
        </w:rPr>
        <w:t>有关文件、表格可在无锡市水利局门户网站通知公告栏目查阅和下载。</w:t>
      </w:r>
    </w:p>
    <w:p w14:paraId="4625AD45">
      <w:pPr>
        <w:pStyle w:val="5"/>
        <w:keepNext w:val="0"/>
        <w:keepLines w:val="0"/>
        <w:pageBreakBefore w:val="0"/>
        <w:widowControl/>
        <w:kinsoku/>
        <w:wordWrap/>
        <w:overflowPunct/>
        <w:topLinePunct w:val="0"/>
        <w:autoSpaceDE/>
        <w:autoSpaceDN/>
        <w:bidi w:val="0"/>
        <w:adjustRightInd/>
        <w:snapToGrid/>
        <w:spacing w:before="180" w:beforeAutospacing="0" w:after="180" w:afterAutospacing="0" w:line="560" w:lineRule="exact"/>
        <w:ind w:firstLine="480" w:firstLineChars="200"/>
        <w:textAlignment w:val="auto"/>
        <w:rPr>
          <w:rFonts w:hint="default" w:asciiTheme="minorEastAsia" w:hAnsiTheme="minorEastAsia" w:eastAsiaTheme="minorEastAsia" w:cstheme="minorEastAsia"/>
          <w:color w:val="333333"/>
        </w:rPr>
      </w:pPr>
      <w:r>
        <w:rPr>
          <w:rFonts w:hint="eastAsia" w:asciiTheme="minorEastAsia" w:hAnsiTheme="minorEastAsia" w:eastAsiaTheme="minorEastAsia" w:cstheme="minorEastAsia"/>
          <w:color w:val="333333"/>
        </w:rPr>
        <w:t>五、收费标准</w:t>
      </w:r>
    </w:p>
    <w:p w14:paraId="696A3B53">
      <w:pPr>
        <w:pStyle w:val="5"/>
        <w:keepNext w:val="0"/>
        <w:keepLines w:val="0"/>
        <w:pageBreakBefore w:val="0"/>
        <w:widowControl/>
        <w:kinsoku/>
        <w:wordWrap/>
        <w:overflowPunct/>
        <w:topLinePunct w:val="0"/>
        <w:autoSpaceDE/>
        <w:autoSpaceDN/>
        <w:bidi w:val="0"/>
        <w:adjustRightInd/>
        <w:snapToGrid/>
        <w:spacing w:before="180" w:beforeAutospacing="0" w:after="180" w:afterAutospacing="0" w:line="560" w:lineRule="exact"/>
        <w:ind w:firstLine="480" w:firstLineChars="200"/>
        <w:textAlignment w:val="auto"/>
        <w:rPr>
          <w:rFonts w:hint="default" w:asciiTheme="minorEastAsia" w:hAnsiTheme="minorEastAsia" w:eastAsiaTheme="minorEastAsia" w:cstheme="minorEastAsia"/>
          <w:color w:val="333333"/>
        </w:rPr>
      </w:pPr>
      <w:r>
        <w:rPr>
          <w:rFonts w:hint="default" w:asciiTheme="minorEastAsia" w:hAnsiTheme="minorEastAsia" w:eastAsiaTheme="minorEastAsia" w:cstheme="minorEastAsia"/>
          <w:color w:val="333333"/>
        </w:rPr>
        <w:t>根据省物价局苏价费函〔2002〕62号文规定和近年来申报人数实际情况，工程师评审费为150元/人，如有调整另行通知。</w:t>
      </w:r>
    </w:p>
    <w:p w14:paraId="3079F70D">
      <w:pPr>
        <w:pStyle w:val="5"/>
        <w:keepNext w:val="0"/>
        <w:keepLines w:val="0"/>
        <w:pageBreakBefore w:val="0"/>
        <w:widowControl/>
        <w:kinsoku/>
        <w:wordWrap/>
        <w:overflowPunct/>
        <w:topLinePunct w:val="0"/>
        <w:autoSpaceDE/>
        <w:autoSpaceDN/>
        <w:bidi w:val="0"/>
        <w:adjustRightInd/>
        <w:snapToGrid/>
        <w:spacing w:before="180" w:beforeAutospacing="0" w:after="180" w:afterAutospacing="0" w:line="560" w:lineRule="exact"/>
        <w:ind w:firstLine="480" w:firstLineChars="200"/>
        <w:textAlignment w:val="auto"/>
        <w:rPr>
          <w:rFonts w:hint="default" w:asciiTheme="minorEastAsia" w:hAnsiTheme="minorEastAsia" w:eastAsiaTheme="minorEastAsia" w:cstheme="minorEastAsia"/>
          <w:color w:val="333333"/>
        </w:rPr>
      </w:pPr>
      <w:r>
        <w:rPr>
          <w:rFonts w:hint="default" w:asciiTheme="minorEastAsia" w:hAnsiTheme="minorEastAsia" w:eastAsiaTheme="minorEastAsia" w:cstheme="minorEastAsia"/>
          <w:color w:val="333333"/>
        </w:rPr>
        <w:t>根据《省应急管理厅关于报送2026年江苏省高级安全工程师专业技术资格评审材料的通知》（苏应急函〔2026〕75号）文件要求，江苏省高级安全工程师专业技术资格评审申报工作即将开始进行。现将有关事项通知如下：</w:t>
      </w:r>
    </w:p>
    <w:p w14:paraId="5E3AC467">
      <w:pPr>
        <w:pStyle w:val="5"/>
        <w:keepNext w:val="0"/>
        <w:keepLines w:val="0"/>
        <w:pageBreakBefore w:val="0"/>
        <w:widowControl/>
        <w:kinsoku/>
        <w:wordWrap/>
        <w:overflowPunct/>
        <w:topLinePunct w:val="0"/>
        <w:autoSpaceDE/>
        <w:autoSpaceDN/>
        <w:bidi w:val="0"/>
        <w:adjustRightInd/>
        <w:snapToGrid/>
        <w:spacing w:before="180" w:beforeAutospacing="0" w:after="180" w:afterAutospacing="0" w:line="560" w:lineRule="exact"/>
        <w:ind w:firstLine="480" w:firstLineChars="200"/>
        <w:textAlignment w:val="auto"/>
        <w:rPr>
          <w:rFonts w:hint="default" w:asciiTheme="minorEastAsia" w:hAnsiTheme="minorEastAsia" w:eastAsiaTheme="minorEastAsia" w:cstheme="minorEastAsia"/>
          <w:color w:val="333333"/>
        </w:rPr>
      </w:pPr>
      <w:r>
        <w:rPr>
          <w:rFonts w:hint="default" w:asciiTheme="minorEastAsia" w:hAnsiTheme="minorEastAsia" w:eastAsiaTheme="minorEastAsia" w:cstheme="minorEastAsia"/>
          <w:color w:val="333333"/>
        </w:rPr>
        <w:t>1. 申报人应实名登录江苏人才服务云平台职称专栏，按要求注册并如实填报个人相关信息。</w:t>
      </w:r>
    </w:p>
    <w:p w14:paraId="59BA9EE5">
      <w:pPr>
        <w:pStyle w:val="5"/>
        <w:keepNext w:val="0"/>
        <w:keepLines w:val="0"/>
        <w:pageBreakBefore w:val="0"/>
        <w:widowControl/>
        <w:kinsoku/>
        <w:wordWrap/>
        <w:overflowPunct/>
        <w:topLinePunct w:val="0"/>
        <w:autoSpaceDE/>
        <w:autoSpaceDN/>
        <w:bidi w:val="0"/>
        <w:adjustRightInd/>
        <w:snapToGrid/>
        <w:spacing w:before="180" w:beforeAutospacing="0" w:after="180" w:afterAutospacing="0" w:line="560" w:lineRule="exact"/>
        <w:ind w:firstLine="480" w:firstLineChars="200"/>
        <w:textAlignment w:val="auto"/>
        <w:rPr>
          <w:rFonts w:hint="default" w:asciiTheme="minorEastAsia" w:hAnsiTheme="minorEastAsia" w:eastAsiaTheme="minorEastAsia" w:cstheme="minorEastAsia"/>
          <w:color w:val="333333"/>
        </w:rPr>
      </w:pPr>
      <w:r>
        <w:rPr>
          <w:rFonts w:hint="default" w:asciiTheme="minorEastAsia" w:hAnsiTheme="minorEastAsia" w:eastAsiaTheme="minorEastAsia" w:cstheme="minorEastAsia"/>
          <w:color w:val="333333"/>
        </w:rPr>
        <w:t>2. 个人申报时间为即日起至7月21日，我市完成本级审核并提交评委会的截止时间为7月24日17:00。</w:t>
      </w:r>
    </w:p>
    <w:p w14:paraId="628B58AF">
      <w:pPr>
        <w:pStyle w:val="5"/>
        <w:keepNext w:val="0"/>
        <w:keepLines w:val="0"/>
        <w:pageBreakBefore w:val="0"/>
        <w:widowControl/>
        <w:kinsoku/>
        <w:wordWrap/>
        <w:overflowPunct/>
        <w:topLinePunct w:val="0"/>
        <w:autoSpaceDE/>
        <w:autoSpaceDN/>
        <w:bidi w:val="0"/>
        <w:adjustRightInd/>
        <w:snapToGrid/>
        <w:spacing w:before="180" w:beforeAutospacing="0" w:after="180" w:afterAutospacing="0" w:line="560" w:lineRule="exact"/>
        <w:ind w:firstLine="480" w:firstLineChars="200"/>
        <w:textAlignment w:val="auto"/>
        <w:rPr>
          <w:rFonts w:hint="default" w:asciiTheme="minorEastAsia" w:hAnsiTheme="minorEastAsia" w:eastAsiaTheme="minorEastAsia" w:cstheme="minorEastAsia"/>
          <w:color w:val="333333"/>
        </w:rPr>
      </w:pPr>
      <w:r>
        <w:rPr>
          <w:rFonts w:hint="default" w:asciiTheme="minorEastAsia" w:hAnsiTheme="minorEastAsia" w:eastAsiaTheme="minorEastAsia" w:cstheme="minorEastAsia"/>
          <w:color w:val="333333"/>
        </w:rPr>
        <w:t>3. 申报人同一年度只能向一个评审委员会申报职称评审，同一单位申报相同职称系列（专业）相同层级的人员应统一报送同一评审委员会，不得多头报送。市级部门现场审核纸质材料时间：7月1日至7月25日（法定工作日）。地点：无锡市观山路199号市民中心8号楼312室。联系电话：81823873。逾期将不再予以受理。</w:t>
      </w:r>
    </w:p>
    <w:p w14:paraId="75720247">
      <w:pPr>
        <w:pStyle w:val="5"/>
        <w:keepNext w:val="0"/>
        <w:keepLines w:val="0"/>
        <w:pageBreakBefore w:val="0"/>
        <w:widowControl/>
        <w:kinsoku/>
        <w:wordWrap/>
        <w:overflowPunct/>
        <w:topLinePunct w:val="0"/>
        <w:autoSpaceDE/>
        <w:autoSpaceDN/>
        <w:bidi w:val="0"/>
        <w:adjustRightInd/>
        <w:snapToGrid/>
        <w:spacing w:before="180" w:beforeAutospacing="0" w:after="180" w:afterAutospacing="0" w:line="560" w:lineRule="exact"/>
        <w:ind w:firstLine="480" w:firstLineChars="200"/>
        <w:textAlignment w:val="auto"/>
        <w:rPr>
          <w:rFonts w:hint="eastAsia" w:asciiTheme="minorEastAsia" w:hAnsiTheme="minorEastAsia" w:eastAsiaTheme="minorEastAsia" w:cstheme="minorEastAsia"/>
          <w:color w:val="333333"/>
        </w:rPr>
      </w:pPr>
      <w:r>
        <w:rPr>
          <w:rFonts w:hint="default" w:asciiTheme="minorEastAsia" w:hAnsiTheme="minorEastAsia" w:eastAsiaTheme="minorEastAsia" w:cstheme="minorEastAsia"/>
          <w:color w:val="333333"/>
        </w:rPr>
        <w:t>4. 其它事项请按（苏应急函〔2026〕75号）文件执行。</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方正书宋_GBK"/>
    <w:panose1 w:val="00000000000000000000"/>
    <w:charset w:val="00"/>
    <w:family w:val="auto"/>
    <w:pitch w:val="default"/>
    <w:sig w:usb0="00000000" w:usb1="00000000" w:usb2="00000000" w:usb3="00000000" w:csb0="00000000" w:csb1="00000000"/>
  </w:font>
  <w:font w:name="Wingdings">
    <w:altName w:val="MathJax_Vector"/>
    <w:panose1 w:val="05000000000000000000"/>
    <w:charset w:val="02"/>
    <w:family w:val="auto"/>
    <w:pitch w:val="default"/>
    <w:sig w:usb0="00000000" w:usb1="00000000" w:usb2="00000000" w:usb3="00000000" w:csb0="80000000" w:csb1="00000000"/>
  </w:font>
  <w:font w:name="Arial">
    <w:altName w:val="DejaVu Sans"/>
    <w:panose1 w:val="020B0604020202020204"/>
    <w:charset w:val="01"/>
    <w:family w:val="swiss"/>
    <w:pitch w:val="default"/>
    <w:sig w:usb0="E0002AFF" w:usb1="C0007843" w:usb2="00000009" w:usb3="00000000" w:csb0="400001FF" w:csb1="FFFF0000"/>
  </w:font>
  <w:font w:name="黑体">
    <w:altName w:val="方正黑体_GBK"/>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altName w:val="MathJax_Vector"/>
    <w:panose1 w:val="05050102010706020507"/>
    <w:charset w:val="02"/>
    <w:family w:val="roman"/>
    <w:pitch w:val="default"/>
    <w:sig w:usb0="00000000" w:usb1="00000000" w:usb2="00000000" w:usb3="00000000" w:csb0="80000000" w:csb1="00000000"/>
  </w:font>
  <w:font w:name="DejaVu Sans">
    <w:panose1 w:val="020B0603030804020204"/>
    <w:charset w:val="00"/>
    <w:family w:val="auto"/>
    <w:pitch w:val="default"/>
    <w:sig w:usb0="E7006EFF" w:usb1="D200FDFF" w:usb2="0A246029" w:usb3="0400200C" w:csb0="600001FF" w:csb1="DFFF0000"/>
  </w:font>
  <w:font w:name="Calibri">
    <w:altName w:val="DejaVu Sans"/>
    <w:panose1 w:val="020F0502020204030204"/>
    <w:charset w:val="00"/>
    <w:family w:val="swiss"/>
    <w:pitch w:val="default"/>
    <w:sig w:usb0="00000000" w:usb1="00000000" w:usb2="00000001" w:usb3="00000000" w:csb0="0000019F" w:csb1="00000000"/>
  </w:font>
  <w:font w:name="方正书宋_GBK">
    <w:panose1 w:val="02000000000000000000"/>
    <w:charset w:val="86"/>
    <w:family w:val="auto"/>
    <w:pitch w:val="default"/>
    <w:sig w:usb0="00000001" w:usb1="08000000" w:usb2="00000000" w:usb3="00000000" w:csb0="00040000" w:csb1="00000000"/>
  </w:font>
  <w:font w:name="微软雅黑">
    <w:altName w:val="方正黑体_GBK"/>
    <w:panose1 w:val="020B0503020204020204"/>
    <w:charset w:val="86"/>
    <w:family w:val="swiss"/>
    <w:pitch w:val="default"/>
    <w:sig w:usb0="00000000" w:usb1="00000000" w:usb2="00000016" w:usb3="00000000" w:csb0="0004001F" w:csb1="00000000"/>
  </w:font>
  <w:font w:name="方正黑体_GBK">
    <w:panose1 w:val="02000000000000000000"/>
    <w:charset w:val="86"/>
    <w:family w:val="auto"/>
    <w:pitch w:val="default"/>
    <w:sig w:usb0="00000001" w:usb1="08000000" w:usb2="00000000" w:usb3="00000000" w:csb0="00040000" w:csb1="00000000"/>
  </w:font>
  <w:font w:name="华文仿宋">
    <w:panose1 w:val="02010600040101010101"/>
    <w:charset w:val="86"/>
    <w:family w:val="auto"/>
    <w:pitch w:val="default"/>
    <w:sig w:usb0="00000287" w:usb1="080F0000" w:usb2="00000000" w:usb3="00000000" w:csb0="0004009F" w:csb1="DFD70000"/>
  </w:font>
  <w:font w:name="sans-serif">
    <w:altName w:val="C059"/>
    <w:panose1 w:val="00000000000000000000"/>
    <w:charset w:val="00"/>
    <w:family w:val="auto"/>
    <w:pitch w:val="default"/>
    <w:sig w:usb0="00000000" w:usb1="00000000" w:usb2="00000000" w:usb3="00000000" w:csb0="00000000" w:csb1="00000000"/>
  </w:font>
  <w:font w:name="C059">
    <w:panose1 w:val="00000500000000000000"/>
    <w:charset w:val="00"/>
    <w:family w:val="auto"/>
    <w:pitch w:val="default"/>
    <w:sig w:usb0="00000287" w:usb1="00000800" w:usb2="00000000" w:usb3="00000000" w:csb0="6000009F" w:csb1="00000000"/>
  </w:font>
  <w:font w:name="Verdana">
    <w:altName w:val="C059"/>
    <w:panose1 w:val="00000000000000000000"/>
    <w:charset w:val="00"/>
    <w:family w:val="auto"/>
    <w:pitch w:val="default"/>
    <w:sig w:usb0="00000000" w:usb1="00000000" w:usb2="00000000" w:usb3="00000000" w:csb0="00000000" w:csb1="00000000"/>
  </w:font>
  <w:font w:name="方正仿宋_gbk">
    <w:altName w:val="Times New Roman"/>
    <w:panose1 w:val="00000000000000000000"/>
    <w:charset w:val="00"/>
    <w:family w:val="auto"/>
    <w:pitch w:val="default"/>
    <w:sig w:usb0="00000000" w:usb1="00000000" w:usb2="00000000" w:usb3="00000000" w:csb0="00000000" w:csb1="00000000"/>
  </w:font>
  <w:font w:name="MathJax_Vector">
    <w:panose1 w:val="02000603000000000000"/>
    <w:charset w:val="00"/>
    <w:family w:val="auto"/>
    <w:pitch w:val="default"/>
    <w:sig w:usb0="00000001" w:usb1="00000020" w:usb2="00000000" w:usb3="00000000" w:csb0="0000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2"/>
  </w:compat>
  <w:rsids>
    <w:rsidRoot w:val="000E0765"/>
    <w:rsid w:val="000E0765"/>
    <w:rsid w:val="00631A22"/>
    <w:rsid w:val="1BD3E156"/>
    <w:rsid w:val="2B6F454F"/>
    <w:rsid w:val="2E9D3A1D"/>
    <w:rsid w:val="36CF8750"/>
    <w:rsid w:val="3D151BCE"/>
    <w:rsid w:val="4FDF4BF6"/>
    <w:rsid w:val="4FFE2B4B"/>
    <w:rsid w:val="5F6F9F68"/>
    <w:rsid w:val="65DC3415"/>
    <w:rsid w:val="6D7D392F"/>
    <w:rsid w:val="6FD63A7B"/>
    <w:rsid w:val="6FFD126C"/>
    <w:rsid w:val="77FF8F82"/>
    <w:rsid w:val="7DFE95ED"/>
    <w:rsid w:val="7F5FD08F"/>
    <w:rsid w:val="7F65EE49"/>
    <w:rsid w:val="7F970B77"/>
    <w:rsid w:val="886F97C5"/>
    <w:rsid w:val="ACBC7E95"/>
    <w:rsid w:val="B1BE434C"/>
    <w:rsid w:val="C9B67478"/>
    <w:rsid w:val="D6FB510E"/>
    <w:rsid w:val="DFF9F0A5"/>
    <w:rsid w:val="F33216C7"/>
    <w:rsid w:val="F77D8DAC"/>
    <w:rsid w:val="FBDCB50E"/>
    <w:rsid w:val="FE3EEDA3"/>
    <w:rsid w:val="FFBEAED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name="header"/>
    <w:lsdException w:qFormat="1"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2">
    <w:name w:val="heading 1"/>
    <w:basedOn w:val="1"/>
    <w:link w:val="12"/>
    <w:qFormat/>
    <w:uiPriority w:val="9"/>
    <w:pPr>
      <w:widowControl/>
      <w:spacing w:before="100" w:beforeAutospacing="1" w:after="100" w:afterAutospacing="1"/>
      <w:jc w:val="left"/>
      <w:outlineLvl w:val="0"/>
    </w:pPr>
    <w:rPr>
      <w:rFonts w:ascii="宋体" w:hAnsi="宋体" w:eastAsia="宋体" w:cs="宋体"/>
      <w:b/>
      <w:bCs/>
      <w:kern w:val="36"/>
      <w:sz w:val="48"/>
      <w:szCs w:val="48"/>
    </w:rPr>
  </w:style>
  <w:style w:type="character" w:default="1" w:styleId="7">
    <w:name w:val="Default Paragraph Font"/>
    <w:semiHidden/>
    <w:unhideWhenUsed/>
    <w:qFormat/>
    <w:uiPriority w:val="1"/>
  </w:style>
  <w:style w:type="table" w:default="1" w:styleId="6">
    <w:name w:val="Normal Table"/>
    <w:semiHidden/>
    <w:unhideWhenUsed/>
    <w:qFormat/>
    <w:uiPriority w:val="99"/>
    <w:tblPr>
      <w:tblCellMar>
        <w:top w:w="0" w:type="dxa"/>
        <w:left w:w="108" w:type="dxa"/>
        <w:bottom w:w="0" w:type="dxa"/>
        <w:right w:w="108" w:type="dxa"/>
      </w:tblCellMar>
    </w:tblPr>
  </w:style>
  <w:style w:type="paragraph" w:styleId="3">
    <w:name w:val="footer"/>
    <w:basedOn w:val="1"/>
    <w:link w:val="11"/>
    <w:semiHidden/>
    <w:unhideWhenUsed/>
    <w:qFormat/>
    <w:uiPriority w:val="99"/>
    <w:pPr>
      <w:tabs>
        <w:tab w:val="center" w:pos="4153"/>
        <w:tab w:val="right" w:pos="8306"/>
      </w:tabs>
      <w:snapToGrid w:val="0"/>
      <w:jc w:val="left"/>
    </w:pPr>
    <w:rPr>
      <w:sz w:val="18"/>
      <w:szCs w:val="18"/>
    </w:rPr>
  </w:style>
  <w:style w:type="paragraph" w:styleId="4">
    <w:name w:val="header"/>
    <w:basedOn w:val="1"/>
    <w:link w:val="10"/>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5">
    <w:name w:val="Normal (Web)"/>
    <w:basedOn w:val="1"/>
    <w:semiHidden/>
    <w:unhideWhenUsed/>
    <w:qFormat/>
    <w:uiPriority w:val="99"/>
    <w:pPr>
      <w:widowControl/>
      <w:spacing w:before="100" w:beforeAutospacing="1" w:after="100" w:afterAutospacing="1"/>
      <w:jc w:val="left"/>
    </w:pPr>
    <w:rPr>
      <w:rFonts w:ascii="宋体" w:hAnsi="宋体" w:eastAsia="宋体" w:cs="宋体"/>
      <w:kern w:val="0"/>
      <w:sz w:val="24"/>
      <w:szCs w:val="24"/>
    </w:rPr>
  </w:style>
  <w:style w:type="character" w:styleId="8">
    <w:name w:val="Emphasis"/>
    <w:basedOn w:val="7"/>
    <w:qFormat/>
    <w:uiPriority w:val="20"/>
    <w:rPr>
      <w:i/>
      <w:iCs/>
    </w:rPr>
  </w:style>
  <w:style w:type="character" w:styleId="9">
    <w:name w:val="Hyperlink"/>
    <w:basedOn w:val="7"/>
    <w:semiHidden/>
    <w:unhideWhenUsed/>
    <w:uiPriority w:val="99"/>
    <w:rPr>
      <w:color w:val="0000FF"/>
      <w:u w:val="single"/>
    </w:rPr>
  </w:style>
  <w:style w:type="character" w:customStyle="1" w:styleId="10">
    <w:name w:val="页眉 Char"/>
    <w:basedOn w:val="7"/>
    <w:link w:val="4"/>
    <w:semiHidden/>
    <w:qFormat/>
    <w:uiPriority w:val="99"/>
    <w:rPr>
      <w:sz w:val="18"/>
      <w:szCs w:val="18"/>
    </w:rPr>
  </w:style>
  <w:style w:type="character" w:customStyle="1" w:styleId="11">
    <w:name w:val="页脚 Char"/>
    <w:basedOn w:val="7"/>
    <w:link w:val="3"/>
    <w:semiHidden/>
    <w:qFormat/>
    <w:uiPriority w:val="99"/>
    <w:rPr>
      <w:sz w:val="18"/>
      <w:szCs w:val="18"/>
    </w:rPr>
  </w:style>
  <w:style w:type="character" w:customStyle="1" w:styleId="12">
    <w:name w:val="标题 1 Char"/>
    <w:basedOn w:val="7"/>
    <w:link w:val="2"/>
    <w:qFormat/>
    <w:uiPriority w:val="9"/>
    <w:rPr>
      <w:rFonts w:ascii="宋体" w:hAnsi="宋体" w:eastAsia="宋体" w:cs="宋体"/>
      <w:b/>
      <w:bCs/>
      <w:kern w:val="36"/>
      <w:sz w:val="48"/>
      <w:szCs w:val="48"/>
    </w:rPr>
  </w:style>
  <w:style w:type="paragraph" w:customStyle="1" w:styleId="13">
    <w:name w:val="explain"/>
    <w:basedOn w:val="1"/>
    <w:qFormat/>
    <w:uiPriority w:val="0"/>
    <w:pPr>
      <w:widowControl/>
      <w:spacing w:before="100" w:beforeAutospacing="1" w:after="100" w:afterAutospacing="1"/>
      <w:jc w:val="left"/>
    </w:pPr>
    <w:rPr>
      <w:rFonts w:ascii="宋体" w:hAnsi="宋体" w:eastAsia="宋体" w:cs="宋体"/>
      <w:kern w:val="0"/>
      <w:sz w:val="24"/>
      <w:szCs w:val="24"/>
    </w:rPr>
  </w:style>
  <w:style w:type="character" w:customStyle="1" w:styleId="14">
    <w:name w:val="big"/>
    <w:basedOn w:val="7"/>
    <w:qFormat/>
    <w:uiPriority w:val="0"/>
  </w:style>
  <w:style w:type="character" w:customStyle="1" w:styleId="15">
    <w:name w:val="middle"/>
    <w:basedOn w:val="7"/>
    <w:qFormat/>
    <w:uiPriority w:val="0"/>
  </w:style>
  <w:style w:type="character" w:customStyle="1" w:styleId="16">
    <w:name w:val="small"/>
    <w:basedOn w:val="7"/>
    <w:qFormat/>
    <w:uiPriority w:val="0"/>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Company>Microsoft</Company>
  <Pages>5</Pages>
  <Words>450</Words>
  <Characters>2568</Characters>
  <Lines>21</Lines>
  <Paragraphs>6</Paragraphs>
  <TotalTime>2</TotalTime>
  <ScaleCrop>false</ScaleCrop>
  <LinksUpToDate>false</LinksUpToDate>
  <CharactersWithSpaces>3012</CharactersWithSpaces>
  <Application>WPS Office_12.1.2.22550_F1E327BC-269C-435d-A152-05C5408002CA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2025-05-16T00:30:00Z</dcterms:created>
  <dc:creator>LH</dc:creator>
  <cp:lastModifiedBy>user</cp:lastModifiedBy>
  <dcterms:modified xsi:type="dcterms:W3CDTF">2026-07-22T09:09:28Z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2052-12.1.2.22550</vt:lpwstr>
  </property>
  <property fmtid="{D5CDD505-2E9C-101B-9397-08002B2CF9AE}" pid="3" name="ICV">
    <vt:lpwstr>A5916390006B054D2C14EF6994CD4F11_42</vt:lpwstr>
  </property>
</Properties>
</file>