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EE99B0">
      <w:pPr>
        <w:overflowPunct w:val="0"/>
        <w:autoSpaceDE w:val="0"/>
        <w:autoSpaceDN w:val="0"/>
        <w:adjustRightInd w:val="0"/>
        <w:snapToGrid w:val="0"/>
        <w:spacing w:line="400" w:lineRule="atLeast"/>
        <w:jc w:val="center"/>
        <w:rPr>
          <w:rFonts w:hint="eastAsia" w:ascii="黑体" w:hAnsi="宋体" w:eastAsia="黑体"/>
          <w:sz w:val="32"/>
          <w:szCs w:val="32"/>
          <w:lang w:eastAsia="zh-CN"/>
        </w:rPr>
      </w:pPr>
      <w:r>
        <w:rPr>
          <w:rFonts w:hint="eastAsia" w:ascii="黑体" w:hAnsi="宋体" w:eastAsia="黑体"/>
          <w:sz w:val="32"/>
          <w:szCs w:val="32"/>
          <w:lang w:eastAsia="zh-CN"/>
        </w:rPr>
        <w:t>宜兴市移动电源产品质量监督抽查实施细则</w:t>
      </w:r>
    </w:p>
    <w:p w14:paraId="01A9B6D6">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372C2145">
      <w:pPr>
        <w:overflowPunct w:val="0"/>
        <w:autoSpaceDE w:val="0"/>
        <w:autoSpaceDN w:val="0"/>
        <w:adjustRightInd w:val="0"/>
        <w:snapToGrid w:val="0"/>
        <w:spacing w:line="400" w:lineRule="atLeast"/>
        <w:jc w:val="center"/>
        <w:rPr>
          <w:rFonts w:hint="eastAsia" w:ascii="黑体" w:hAnsi="宋体" w:eastAsia="黑体"/>
          <w:sz w:val="32"/>
          <w:szCs w:val="32"/>
        </w:rPr>
      </w:pPr>
    </w:p>
    <w:p w14:paraId="48C3FDF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1.范围</w:t>
      </w:r>
    </w:p>
    <w:p w14:paraId="5CD3B55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本细则适用于</w:t>
      </w:r>
      <w:r>
        <w:rPr>
          <w:rFonts w:hint="eastAsia" w:ascii="方正仿宋_GBK" w:hAnsi="方正仿宋_GBK" w:eastAsia="方正仿宋_GBK" w:cs="方正仿宋_GBK"/>
          <w:sz w:val="28"/>
          <w:szCs w:val="28"/>
          <w:lang w:val="en-US" w:eastAsia="zh-CN"/>
        </w:rPr>
        <w:t>宜兴市移动电源</w:t>
      </w:r>
      <w:r>
        <w:rPr>
          <w:rFonts w:hint="eastAsia" w:ascii="方正仿宋_GBK" w:hAnsi="方正仿宋_GBK" w:eastAsia="方正仿宋_GBK" w:cs="方正仿宋_GBK"/>
          <w:sz w:val="28"/>
          <w:szCs w:val="28"/>
        </w:rPr>
        <w:t>产品质量监督抽查检验。本细则规定了此产品的抽样方法、检验依据、检验项目、检验方法、判定</w:t>
      </w:r>
      <w:r>
        <w:rPr>
          <w:rFonts w:hint="eastAsia" w:ascii="方正仿宋_GBK" w:hAnsi="方正仿宋_GBK" w:eastAsia="方正仿宋_GBK" w:cs="方正仿宋_GBK"/>
          <w:sz w:val="28"/>
          <w:szCs w:val="28"/>
          <w:lang w:eastAsia="zh-CN"/>
        </w:rPr>
        <w:t>规</w:t>
      </w:r>
      <w:r>
        <w:rPr>
          <w:rFonts w:hint="eastAsia" w:ascii="方正仿宋_GBK" w:hAnsi="方正仿宋_GBK" w:eastAsia="方正仿宋_GBK" w:cs="方正仿宋_GBK"/>
          <w:sz w:val="28"/>
          <w:szCs w:val="28"/>
        </w:rPr>
        <w:t>则。</w:t>
      </w:r>
    </w:p>
    <w:p w14:paraId="0AB0DD6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2.抽样方法</w:t>
      </w:r>
    </w:p>
    <w:p w14:paraId="182E915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方正仿宋_GBK" w:hAnsi="方正仿宋_GBK" w:eastAsia="方正仿宋_GBK" w:cs="方正仿宋_GBK"/>
          <w:b/>
          <w:bCs/>
          <w:sz w:val="28"/>
          <w:szCs w:val="28"/>
          <w:lang w:val="en-US" w:eastAsia="zh-CN"/>
        </w:rPr>
        <w:t>生产企业、实体店抽样</w:t>
      </w:r>
    </w:p>
    <w:p w14:paraId="394D5B02">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highlight w:val="yellow"/>
        </w:rPr>
      </w:pPr>
      <w:r>
        <w:rPr>
          <w:rFonts w:hint="eastAsia" w:ascii="方正仿宋_GBK" w:hAnsi="方正仿宋_GBK" w:eastAsia="方正仿宋_GBK" w:cs="方正仿宋_GBK"/>
          <w:sz w:val="28"/>
          <w:szCs w:val="28"/>
        </w:rPr>
        <w:t>以随机抽样的方式在被抽样生产者、销售者的待销产品中抽取。随机数一般可使用随机数表等方法产生。每批次产品抽取</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单电池（电池数量=1）移动电源产品每批次抽取样品9台，其中6台作为检验样品，3台作为备用样品。多电池（电池数量＞1）移动电源产品每批次抽取样品6台，其中4台作为检验样品，2台作为备用样品。</w:t>
      </w:r>
    </w:p>
    <w:p w14:paraId="1E8DF6D5">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检验依据</w:t>
      </w:r>
    </w:p>
    <w:tbl>
      <w:tblPr>
        <w:tblStyle w:val="5"/>
        <w:tblpPr w:leftFromText="180" w:rightFromText="180" w:vertAnchor="text" w:horzAnchor="page" w:tblpX="2143" w:tblpY="2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544"/>
        <w:gridCol w:w="3753"/>
      </w:tblGrid>
      <w:tr w14:paraId="72A16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53AFFAB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序号</w:t>
            </w:r>
          </w:p>
        </w:tc>
        <w:tc>
          <w:tcPr>
            <w:tcW w:w="3544" w:type="dxa"/>
            <w:noWrap w:val="0"/>
            <w:vAlign w:val="center"/>
          </w:tcPr>
          <w:p w14:paraId="3B868E4F">
            <w:pPr>
              <w:keepNext w:val="0"/>
              <w:keepLines w:val="0"/>
              <w:pageBreakBefore w:val="0"/>
              <w:widowControl w:val="0"/>
              <w:shd w:val="clear" w:color="auto" w:fill="FFFFFF"/>
              <w:kinsoku/>
              <w:wordWrap/>
              <w:overflowPunct/>
              <w:topLinePunct w:val="0"/>
              <w:autoSpaceDE/>
              <w:autoSpaceDN/>
              <w:bidi w:val="0"/>
              <w:adjustRightInd/>
              <w:snapToGrid/>
              <w:spacing w:line="240" w:lineRule="auto"/>
              <w:ind w:firstLine="0" w:firstLineChars="0"/>
              <w:jc w:val="center"/>
              <w:textAlignment w:val="auto"/>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color w:val="auto"/>
                <w:sz w:val="28"/>
                <w:szCs w:val="28"/>
                <w:highlight w:val="none"/>
                <w:lang w:val="en-US" w:eastAsia="zh-CN"/>
              </w:rPr>
              <w:t>检验项目</w:t>
            </w:r>
          </w:p>
        </w:tc>
        <w:tc>
          <w:tcPr>
            <w:tcW w:w="3753" w:type="dxa"/>
            <w:noWrap w:val="0"/>
            <w:vAlign w:val="center"/>
          </w:tcPr>
          <w:p w14:paraId="23345D8A">
            <w:pPr>
              <w:ind w:firstLine="0" w:firstLineChars="0"/>
              <w:jc w:val="center"/>
              <w:rPr>
                <w:rFonts w:hint="eastAsia" w:ascii="方正仿宋_GBK" w:hAnsi="方正仿宋_GBK" w:eastAsia="方正仿宋_GBK" w:cs="方正仿宋_GBK"/>
                <w:b/>
                <w:bCs/>
                <w:color w:val="auto"/>
                <w:sz w:val="28"/>
                <w:szCs w:val="28"/>
                <w:highlight w:val="none"/>
                <w:lang w:val="en-US" w:eastAsia="zh-CN"/>
              </w:rPr>
            </w:pPr>
            <w:r>
              <w:rPr>
                <w:rFonts w:hint="eastAsia" w:ascii="方正仿宋_GBK" w:hAnsi="方正仿宋_GBK" w:eastAsia="方正仿宋_GBK" w:cs="方正仿宋_GBK"/>
                <w:b/>
                <w:bCs/>
                <w:sz w:val="28"/>
                <w:szCs w:val="28"/>
                <w:highlight w:val="none"/>
                <w:lang w:val="en-US" w:eastAsia="zh-CN"/>
              </w:rPr>
              <w:t>检验</w:t>
            </w:r>
            <w:r>
              <w:rPr>
                <w:rFonts w:hint="eastAsia" w:ascii="方正仿宋_GBK" w:hAnsi="方正仿宋_GBK" w:eastAsia="方正仿宋_GBK" w:cs="方正仿宋_GBK"/>
                <w:b/>
                <w:bCs/>
                <w:sz w:val="28"/>
                <w:szCs w:val="28"/>
                <w:highlight w:val="none"/>
              </w:rPr>
              <w:t>方法</w:t>
            </w:r>
          </w:p>
        </w:tc>
      </w:tr>
      <w:tr w14:paraId="5AAE0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55" w:type="dxa"/>
            <w:noWrap w:val="0"/>
            <w:vAlign w:val="center"/>
          </w:tcPr>
          <w:p w14:paraId="27A0CE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1</w:t>
            </w:r>
          </w:p>
        </w:tc>
        <w:tc>
          <w:tcPr>
            <w:tcW w:w="3544" w:type="dxa"/>
            <w:noWrap w:val="0"/>
            <w:vAlign w:val="center"/>
          </w:tcPr>
          <w:p w14:paraId="363CC79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热灼伤（接触温度限值）</w:t>
            </w:r>
          </w:p>
        </w:tc>
        <w:tc>
          <w:tcPr>
            <w:tcW w:w="3753" w:type="dxa"/>
            <w:noWrap w:val="0"/>
            <w:vAlign w:val="center"/>
          </w:tcPr>
          <w:p w14:paraId="01E9046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w:t>
            </w:r>
            <w:bookmarkStart w:id="0" w:name="_GoBack"/>
            <w:bookmarkEnd w:id="0"/>
            <w:r>
              <w:rPr>
                <w:rFonts w:hint="eastAsia" w:ascii="方正仿宋_GBK" w:hAnsi="方正仿宋_GBK" w:eastAsia="方正仿宋_GBK" w:cs="方正仿宋_GBK"/>
                <w:sz w:val="28"/>
                <w:szCs w:val="28"/>
              </w:rPr>
              <w:t xml:space="preserve"> 4943.1—2022</w:t>
            </w:r>
          </w:p>
        </w:tc>
      </w:tr>
      <w:tr w14:paraId="2563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170ECEB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2</w:t>
            </w:r>
          </w:p>
        </w:tc>
        <w:tc>
          <w:tcPr>
            <w:tcW w:w="3544" w:type="dxa"/>
            <w:noWrap w:val="0"/>
            <w:vAlign w:val="center"/>
          </w:tcPr>
          <w:p w14:paraId="349D627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标记和说明</w:t>
            </w:r>
          </w:p>
        </w:tc>
        <w:tc>
          <w:tcPr>
            <w:tcW w:w="3753" w:type="dxa"/>
            <w:noWrap w:val="0"/>
            <w:vAlign w:val="center"/>
          </w:tcPr>
          <w:p w14:paraId="7C846ED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4943.1—2022</w:t>
            </w:r>
          </w:p>
        </w:tc>
      </w:tr>
      <w:tr w14:paraId="20135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317457C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3</w:t>
            </w:r>
          </w:p>
        </w:tc>
        <w:tc>
          <w:tcPr>
            <w:tcW w:w="3544" w:type="dxa"/>
            <w:noWrap w:val="0"/>
            <w:vAlign w:val="center"/>
          </w:tcPr>
          <w:p w14:paraId="024937F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过充电</w:t>
            </w:r>
          </w:p>
        </w:tc>
        <w:tc>
          <w:tcPr>
            <w:tcW w:w="3753" w:type="dxa"/>
            <w:noWrap w:val="0"/>
            <w:vAlign w:val="center"/>
          </w:tcPr>
          <w:p w14:paraId="0CD52E6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31241—2022</w:t>
            </w:r>
          </w:p>
        </w:tc>
      </w:tr>
      <w:tr w14:paraId="3B57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noWrap w:val="0"/>
            <w:vAlign w:val="center"/>
          </w:tcPr>
          <w:p w14:paraId="68558C6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4</w:t>
            </w:r>
          </w:p>
        </w:tc>
        <w:tc>
          <w:tcPr>
            <w:tcW w:w="3544" w:type="dxa"/>
            <w:noWrap w:val="0"/>
            <w:vAlign w:val="center"/>
          </w:tcPr>
          <w:p w14:paraId="295CBA0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高温外部短路</w:t>
            </w:r>
          </w:p>
        </w:tc>
        <w:tc>
          <w:tcPr>
            <w:tcW w:w="3753" w:type="dxa"/>
            <w:noWrap w:val="0"/>
            <w:vAlign w:val="center"/>
          </w:tcPr>
          <w:p w14:paraId="45E5035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31241—2022</w:t>
            </w:r>
          </w:p>
        </w:tc>
      </w:tr>
      <w:tr w14:paraId="5A902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7B6C5D2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5</w:t>
            </w:r>
          </w:p>
        </w:tc>
        <w:tc>
          <w:tcPr>
            <w:tcW w:w="3544" w:type="dxa"/>
            <w:vAlign w:val="center"/>
          </w:tcPr>
          <w:p w14:paraId="71A952B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充电电压控制</w:t>
            </w:r>
          </w:p>
        </w:tc>
        <w:tc>
          <w:tcPr>
            <w:tcW w:w="3753" w:type="dxa"/>
            <w:vAlign w:val="center"/>
          </w:tcPr>
          <w:p w14:paraId="6B05EE7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31241—2022</w:t>
            </w:r>
          </w:p>
        </w:tc>
      </w:tr>
      <w:tr w14:paraId="6966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5" w:type="dxa"/>
            <w:vAlign w:val="center"/>
          </w:tcPr>
          <w:p w14:paraId="38F944A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6</w:t>
            </w:r>
          </w:p>
        </w:tc>
        <w:tc>
          <w:tcPr>
            <w:tcW w:w="3544" w:type="dxa"/>
            <w:vAlign w:val="center"/>
          </w:tcPr>
          <w:p w14:paraId="476A5578">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充电电流控制</w:t>
            </w:r>
          </w:p>
        </w:tc>
        <w:tc>
          <w:tcPr>
            <w:tcW w:w="3753" w:type="dxa"/>
            <w:vAlign w:val="center"/>
          </w:tcPr>
          <w:p w14:paraId="5FE7CBF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GB 31241—2022</w:t>
            </w:r>
          </w:p>
        </w:tc>
      </w:tr>
    </w:tbl>
    <w:p w14:paraId="6ED3B34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方正黑体_GBK" w:hAnsi="方正仿宋_GBK" w:eastAsia="方正黑体_GBK" w:cs="方正仿宋_GBK"/>
          <w:kern w:val="0"/>
          <w:sz w:val="28"/>
          <w:szCs w:val="28"/>
          <w:shd w:val="clear" w:color="auto" w:fill="FFFFFF"/>
          <w:lang w:bidi="ar"/>
        </w:rPr>
        <w:t>4.判定规则</w:t>
      </w:r>
    </w:p>
    <w:p w14:paraId="598196DC">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b/>
          <w:bCs/>
          <w:kern w:val="0"/>
          <w:sz w:val="28"/>
          <w:szCs w:val="28"/>
          <w:shd w:val="clear" w:color="auto" w:fill="FFFFFF"/>
          <w:lang w:bidi="ar"/>
        </w:rPr>
      </w:pPr>
      <w:r>
        <w:rPr>
          <w:rFonts w:hint="default" w:ascii="Times New Roman" w:hAnsi="Times New Roman" w:eastAsia="方正仿宋_GBK" w:cs="Times New Roman"/>
          <w:b/>
          <w:bCs/>
          <w:kern w:val="0"/>
          <w:sz w:val="28"/>
          <w:szCs w:val="28"/>
          <w:shd w:val="clear" w:color="auto" w:fill="FFFFFF"/>
          <w:lang w:bidi="ar"/>
        </w:rPr>
        <w:t>4.1</w:t>
      </w:r>
      <w:r>
        <w:rPr>
          <w:rFonts w:hint="eastAsia" w:ascii="方正仿宋_GBK" w:hAnsi="方正仿宋_GBK" w:eastAsia="方正仿宋_GBK" w:cs="方正仿宋_GBK"/>
          <w:b/>
          <w:bCs/>
          <w:kern w:val="0"/>
          <w:sz w:val="28"/>
          <w:szCs w:val="28"/>
          <w:shd w:val="clear" w:color="auto" w:fill="FFFFFF"/>
          <w:lang w:bidi="ar"/>
        </w:rPr>
        <w:t>依据标准</w:t>
      </w:r>
    </w:p>
    <w:p w14:paraId="6BF1BA5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31241-2022《便携式电子产品用锂离子电池和电池组安全要求》</w:t>
      </w:r>
    </w:p>
    <w:p w14:paraId="77DF06B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GB 4943.1-2022《音视频、信息技术和通信技术设备 第1部分：安全要求》</w:t>
      </w:r>
    </w:p>
    <w:p w14:paraId="21AB1F9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7A631DD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黑体_GBK" w:hAnsi="方正仿宋_GBK" w:eastAsia="方正黑体_GBK" w:cs="方正仿宋_GBK"/>
          <w:kern w:val="0"/>
          <w:sz w:val="28"/>
          <w:szCs w:val="28"/>
          <w:shd w:val="clear" w:color="auto" w:fill="FFFFFF"/>
          <w:lang w:bidi="ar"/>
        </w:rPr>
      </w:pPr>
      <w:r>
        <w:rPr>
          <w:rFonts w:hint="eastAsia" w:ascii="Times New Roman" w:hAnsi="Times New Roman" w:eastAsia="方正仿宋_GBK" w:cs="Times New Roman"/>
          <w:b/>
          <w:bCs/>
          <w:kern w:val="0"/>
          <w:sz w:val="28"/>
          <w:szCs w:val="28"/>
          <w:shd w:val="clear" w:color="auto" w:fill="FFFFFF"/>
          <w:lang w:bidi="ar"/>
        </w:rPr>
        <w:t>4.2判定原则</w:t>
      </w:r>
    </w:p>
    <w:p w14:paraId="2F9C14B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经检验，检验项目全部合格，判定为被抽查产品所检项目未发现不合格；检验项目中任一项或一项以上不合格，判定为被抽查产品不合格。</w:t>
      </w:r>
    </w:p>
    <w:p w14:paraId="3517632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若被检产品明示的质量要求高于本细则中检验项目依据的标准要求时，应按被检产品明示的质量要求判定。</w:t>
      </w:r>
    </w:p>
    <w:p w14:paraId="3FCC62F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若被检产品明示的质量要求低于本细则中检验项目依据的强制性标准要求时，应按照强制性标准要求判定。</w:t>
      </w:r>
    </w:p>
    <w:p w14:paraId="4E7EB75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若被检产品明示的质量要求低于或包含本细则中检验项目依据的推荐性标准要求时，应以被检产品明示的质量要求判定。</w:t>
      </w:r>
    </w:p>
    <w:p w14:paraId="191B114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若被检产品明示的质量要求缺少本细则中检验项目依据的强制性标准要求时，应按照强制性标准要求判定。</w:t>
      </w:r>
    </w:p>
    <w:p w14:paraId="7C7F8304">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若被检产品明示的质量要求缺少本细则中检验项目依据的推荐性标准要求时，该项目不参与判定。</w:t>
      </w:r>
    </w:p>
    <w:p w14:paraId="6E590DF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方正仿宋_GBK" w:hAnsi="方正仿宋_GBK" w:eastAsia="方正仿宋_GBK" w:cs="方正仿宋_GBK"/>
          <w:sz w:val="28"/>
          <w:szCs w:val="28"/>
        </w:rPr>
      </w:pP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7312FE"/>
    <w:multiLevelType w:val="singleLevel"/>
    <w:tmpl w:val="2A7312FE"/>
    <w:lvl w:ilvl="0" w:tentative="0">
      <w:start w:val="3"/>
      <w:numFmt w:val="decimal"/>
      <w:lvlText w:val="%1."/>
      <w:lvlJc w:val="left"/>
      <w:pPr>
        <w:tabs>
          <w:tab w:val="left" w:pos="312"/>
        </w:tabs>
      </w:pPr>
    </w:lvl>
  </w:abstractNum>
  <w:abstractNum w:abstractNumId="1">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4"/>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10F774E8"/>
    <w:rsid w:val="247E6D63"/>
    <w:rsid w:val="25470D5C"/>
    <w:rsid w:val="3FD30DCD"/>
    <w:rsid w:val="4830235B"/>
    <w:rsid w:val="51280363"/>
    <w:rsid w:val="5BC2263F"/>
    <w:rsid w:val="5FAF4BC7"/>
    <w:rsid w:val="70913C30"/>
    <w:rsid w:val="78735CD4"/>
    <w:rsid w:val="7C781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firstLine="420"/>
    </w:pPr>
    <w:rPr>
      <w:rFonts w:ascii="Calibri" w:hAnsi="Calibri" w:eastAsia="宋体" w:cs="Times New Roman"/>
      <w:sz w:val="21"/>
      <w:szCs w:val="22"/>
    </w:r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774</Words>
  <Characters>861</Characters>
  <Lines>0</Lines>
  <Paragraphs>0</Paragraphs>
  <TotalTime>3</TotalTime>
  <ScaleCrop>false</ScaleCrop>
  <LinksUpToDate>false</LinksUpToDate>
  <CharactersWithSpaces>870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刘义～苏州质检</cp:lastModifiedBy>
  <dcterms:modified xsi:type="dcterms:W3CDTF">2026-07-17T01:22:29Z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eyJoZGlkIjoiZTUzZDc5MDc2NDZiOWE5NGE0MzZkNDYxZmMwNWQ4MDYiLCJ1c2VySWQiOiIxMDEwNTQ4NDI0In0=</vt:lpwstr>
  </property>
  <property fmtid="{D5CDD505-2E9C-101B-9397-08002B2CF9AE}" pid="4" name="ICV">
    <vt:lpwstr>95B3736266454CF08030BBBA8586CF35_12</vt:lpwstr>
  </property>
</Properties>
</file>