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A53AB">
      <w:pPr>
        <w:overflowPunct w:val="0"/>
        <w:autoSpaceDE w:val="0"/>
        <w:autoSpaceDN w:val="0"/>
        <w:adjustRightInd w:val="0"/>
        <w:snapToGrid w:val="0"/>
        <w:spacing w:line="400" w:lineRule="atLeast"/>
        <w:jc w:val="center"/>
        <w:rPr>
          <w:rFonts w:hint="eastAsia" w:ascii="黑体" w:hAnsi="宋体" w:eastAsia="黑体"/>
          <w:sz w:val="32"/>
          <w:szCs w:val="32"/>
          <w:lang w:eastAsia="zh-CN"/>
        </w:rPr>
      </w:pPr>
      <w:bookmarkStart w:id="0" w:name="_GoBack"/>
      <w:r>
        <w:rPr>
          <w:rFonts w:hint="eastAsia" w:ascii="黑体" w:hAnsi="宋体" w:eastAsia="黑体"/>
          <w:sz w:val="32"/>
          <w:szCs w:val="32"/>
          <w:lang w:val="en-US" w:eastAsia="zh-CN"/>
        </w:rPr>
        <w:t>宜兴市</w:t>
      </w:r>
      <w:r>
        <w:rPr>
          <w:rFonts w:hint="eastAsia" w:ascii="黑体" w:hAnsi="宋体" w:eastAsia="黑体"/>
          <w:sz w:val="32"/>
          <w:szCs w:val="32"/>
          <w:lang w:eastAsia="zh-CN"/>
        </w:rPr>
        <w:t>手机（老年机、中低端为主）</w:t>
      </w:r>
      <w:bookmarkEnd w:id="0"/>
      <w:r>
        <w:rPr>
          <w:rFonts w:hint="eastAsia" w:ascii="黑体" w:hAnsi="宋体" w:eastAsia="黑体"/>
          <w:sz w:val="32"/>
          <w:szCs w:val="32"/>
          <w:lang w:eastAsia="zh-CN"/>
        </w:rPr>
        <w:t>产品质量监督抽查实施细则</w:t>
      </w:r>
    </w:p>
    <w:p w14:paraId="407DBC57">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681F6F8F">
      <w:pPr>
        <w:overflowPunct w:val="0"/>
        <w:autoSpaceDE w:val="0"/>
        <w:autoSpaceDN w:val="0"/>
        <w:adjustRightInd w:val="0"/>
        <w:snapToGrid w:val="0"/>
        <w:spacing w:line="400" w:lineRule="atLeast"/>
        <w:jc w:val="center"/>
        <w:rPr>
          <w:rFonts w:hint="eastAsia" w:ascii="黑体" w:hAnsi="宋体" w:eastAsia="黑体"/>
          <w:sz w:val="32"/>
          <w:szCs w:val="32"/>
        </w:rPr>
      </w:pPr>
    </w:p>
    <w:p w14:paraId="3C29067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7ABDB3A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宜兴市</w:t>
      </w:r>
      <w:r>
        <w:rPr>
          <w:rFonts w:hint="eastAsia" w:ascii="方正仿宋_GBK" w:hAnsi="方正仿宋_GBK" w:eastAsia="方正仿宋_GBK" w:cs="方正仿宋_GBK"/>
          <w:sz w:val="28"/>
          <w:szCs w:val="28"/>
        </w:rPr>
        <w:t>手机（老年机、中低端为主）</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24847D3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2E0D5C5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生产企业、实体店抽样</w:t>
      </w:r>
    </w:p>
    <w:p w14:paraId="7856676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以随机抽样的方式在被抽样生产者、销售者的待销产品中抽取。随机数一般可使用随机数表等方法产生。每批次产品抽取样品2</w:t>
      </w:r>
      <w:r>
        <w:rPr>
          <w:rFonts w:hint="eastAsia" w:ascii="方正仿宋_GBK" w:hAnsi="方正仿宋_GBK" w:eastAsia="方正仿宋_GBK" w:cs="方正仿宋_GBK"/>
          <w:sz w:val="28"/>
          <w:szCs w:val="28"/>
          <w:lang w:val="en-US" w:eastAsia="zh-CN"/>
        </w:rPr>
        <w:t>台</w:t>
      </w:r>
      <w:r>
        <w:rPr>
          <w:rFonts w:hint="eastAsia" w:ascii="方正仿宋_GBK" w:hAnsi="方正仿宋_GBK" w:eastAsia="方正仿宋_GBK" w:cs="方正仿宋_GBK"/>
          <w:sz w:val="28"/>
          <w:szCs w:val="28"/>
        </w:rPr>
        <w:t>，其中1</w:t>
      </w:r>
      <w:r>
        <w:rPr>
          <w:rFonts w:hint="eastAsia" w:ascii="方正仿宋_GBK" w:hAnsi="方正仿宋_GBK" w:eastAsia="方正仿宋_GBK" w:cs="方正仿宋_GBK"/>
          <w:sz w:val="28"/>
          <w:szCs w:val="28"/>
          <w:lang w:val="en-US" w:eastAsia="zh-CN"/>
        </w:rPr>
        <w:t>台</w:t>
      </w:r>
      <w:r>
        <w:rPr>
          <w:rFonts w:hint="eastAsia" w:ascii="方正仿宋_GBK" w:hAnsi="方正仿宋_GBK" w:eastAsia="方正仿宋_GBK" w:cs="方正仿宋_GBK"/>
          <w:sz w:val="28"/>
          <w:szCs w:val="28"/>
        </w:rPr>
        <w:t>为检验样品，1</w:t>
      </w:r>
      <w:r>
        <w:rPr>
          <w:rFonts w:hint="eastAsia" w:ascii="方正仿宋_GBK" w:hAnsi="方正仿宋_GBK" w:eastAsia="方正仿宋_GBK" w:cs="方正仿宋_GBK"/>
          <w:sz w:val="28"/>
          <w:szCs w:val="28"/>
          <w:lang w:val="en-US" w:eastAsia="zh-CN"/>
        </w:rPr>
        <w:t>台</w:t>
      </w:r>
      <w:r>
        <w:rPr>
          <w:rFonts w:hint="eastAsia" w:ascii="方正仿宋_GBK" w:hAnsi="方正仿宋_GBK" w:eastAsia="方正仿宋_GBK" w:cs="方正仿宋_GBK"/>
          <w:sz w:val="28"/>
          <w:szCs w:val="28"/>
        </w:rPr>
        <w:t>为备用样品。</w:t>
      </w:r>
    </w:p>
    <w:p w14:paraId="63553387">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tbl>
      <w:tblPr>
        <w:tblStyle w:val="5"/>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97"/>
        <w:gridCol w:w="4400"/>
      </w:tblGrid>
      <w:tr w14:paraId="4683C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98CAE3D">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2897" w:type="dxa"/>
            <w:noWrap w:val="0"/>
            <w:vAlign w:val="center"/>
          </w:tcPr>
          <w:p w14:paraId="781CB99A">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4400" w:type="dxa"/>
            <w:noWrap w:val="0"/>
            <w:vAlign w:val="center"/>
          </w:tcPr>
          <w:p w14:paraId="3BAF5FD9">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3F4C1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37A0B15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2897" w:type="dxa"/>
            <w:shd w:val="clear"/>
            <w:noWrap w:val="0"/>
            <w:vAlign w:val="center"/>
          </w:tcPr>
          <w:p w14:paraId="278A88E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导体的固定</w:t>
            </w:r>
          </w:p>
        </w:tc>
        <w:tc>
          <w:tcPr>
            <w:tcW w:w="4400" w:type="dxa"/>
            <w:shd w:val="clear"/>
            <w:noWrap w:val="0"/>
            <w:vAlign w:val="center"/>
          </w:tcPr>
          <w:p w14:paraId="07513D1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51B38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4CA59F4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2897" w:type="dxa"/>
            <w:shd w:val="clear"/>
            <w:noWrap w:val="0"/>
            <w:vAlign w:val="center"/>
          </w:tcPr>
          <w:p w14:paraId="0212A0D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直接插入电网电源输出插座的设备</w:t>
            </w:r>
          </w:p>
        </w:tc>
        <w:tc>
          <w:tcPr>
            <w:tcW w:w="4400" w:type="dxa"/>
            <w:shd w:val="clear"/>
            <w:noWrap w:val="0"/>
            <w:vAlign w:val="center"/>
          </w:tcPr>
          <w:p w14:paraId="092C020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3FA0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6C3227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2897" w:type="dxa"/>
            <w:shd w:val="clear"/>
            <w:noWrap w:val="0"/>
            <w:vAlign w:val="center"/>
          </w:tcPr>
          <w:p w14:paraId="7F5B23F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直接安装导电金属零部件的热塑性零部件</w:t>
            </w:r>
          </w:p>
        </w:tc>
        <w:tc>
          <w:tcPr>
            <w:tcW w:w="4400" w:type="dxa"/>
            <w:shd w:val="clear"/>
            <w:noWrap w:val="0"/>
            <w:vAlign w:val="center"/>
          </w:tcPr>
          <w:p w14:paraId="619D4BE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1886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71CA38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2897" w:type="dxa"/>
            <w:shd w:val="clear"/>
            <w:noWrap w:val="0"/>
            <w:vAlign w:val="center"/>
          </w:tcPr>
          <w:p w14:paraId="5ECC940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电气间隙、爬电距离</w:t>
            </w:r>
          </w:p>
        </w:tc>
        <w:tc>
          <w:tcPr>
            <w:tcW w:w="4400" w:type="dxa"/>
            <w:shd w:val="clear"/>
            <w:noWrap w:val="0"/>
            <w:vAlign w:val="center"/>
          </w:tcPr>
          <w:p w14:paraId="346977A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3EB67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31EEED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2897" w:type="dxa"/>
            <w:shd w:val="clear"/>
            <w:vAlign w:val="center"/>
          </w:tcPr>
          <w:p w14:paraId="164E2EF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湿热试验</w:t>
            </w:r>
          </w:p>
        </w:tc>
        <w:tc>
          <w:tcPr>
            <w:tcW w:w="4400" w:type="dxa"/>
            <w:shd w:val="clear"/>
            <w:vAlign w:val="center"/>
          </w:tcPr>
          <w:p w14:paraId="5417076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2A7F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088F0D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6</w:t>
            </w:r>
          </w:p>
        </w:tc>
        <w:tc>
          <w:tcPr>
            <w:tcW w:w="2897" w:type="dxa"/>
            <w:shd w:val="clear"/>
            <w:vAlign w:val="center"/>
          </w:tcPr>
          <w:p w14:paraId="06C7353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抗电强度试验</w:t>
            </w:r>
          </w:p>
        </w:tc>
        <w:tc>
          <w:tcPr>
            <w:tcW w:w="4400" w:type="dxa"/>
            <w:shd w:val="clear"/>
            <w:vAlign w:val="center"/>
          </w:tcPr>
          <w:p w14:paraId="42801EB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21E29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6453BA7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7</w:t>
            </w:r>
          </w:p>
        </w:tc>
        <w:tc>
          <w:tcPr>
            <w:tcW w:w="2897" w:type="dxa"/>
            <w:shd w:val="clear"/>
            <w:vAlign w:val="center"/>
          </w:tcPr>
          <w:p w14:paraId="5DC96AD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热灼伤（接触温度限值）</w:t>
            </w:r>
          </w:p>
        </w:tc>
        <w:tc>
          <w:tcPr>
            <w:tcW w:w="4400" w:type="dxa"/>
            <w:shd w:val="clear"/>
            <w:vAlign w:val="center"/>
          </w:tcPr>
          <w:p w14:paraId="0ACDA6D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65CF7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5B0D847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8</w:t>
            </w:r>
          </w:p>
        </w:tc>
        <w:tc>
          <w:tcPr>
            <w:tcW w:w="2897" w:type="dxa"/>
            <w:shd w:val="clear"/>
            <w:vAlign w:val="center"/>
          </w:tcPr>
          <w:p w14:paraId="63E33E7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辐射杂散骚扰</w:t>
            </w:r>
          </w:p>
        </w:tc>
        <w:tc>
          <w:tcPr>
            <w:tcW w:w="4400" w:type="dxa"/>
            <w:shd w:val="clear"/>
            <w:vAlign w:val="center"/>
          </w:tcPr>
          <w:p w14:paraId="23B13A0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GB/T 22450.1—2008、GB/T 19484.1—2013、YD/T 1595.1—2012、YD/T 1592.1—2012、YD/T 2583.14—2013</w:t>
            </w:r>
          </w:p>
        </w:tc>
      </w:tr>
      <w:tr w14:paraId="3713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43D3A7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9</w:t>
            </w:r>
          </w:p>
        </w:tc>
        <w:tc>
          <w:tcPr>
            <w:tcW w:w="2897" w:type="dxa"/>
            <w:shd w:val="clear"/>
            <w:vAlign w:val="center"/>
          </w:tcPr>
          <w:p w14:paraId="05CCF6B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电源端口传导骚扰</w:t>
            </w:r>
          </w:p>
        </w:tc>
        <w:tc>
          <w:tcPr>
            <w:tcW w:w="4400" w:type="dxa"/>
            <w:shd w:val="clear"/>
            <w:vAlign w:val="center"/>
          </w:tcPr>
          <w:p w14:paraId="50D6A8A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GB/T 22450.1—2008、GB/T 19484.1—2013、YD/T 1595.1—2012、YD/T 1592.1—2012、YD/T 2583.14—2013</w:t>
            </w:r>
          </w:p>
        </w:tc>
      </w:tr>
      <w:tr w14:paraId="5462A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10F67F3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10</w:t>
            </w:r>
          </w:p>
        </w:tc>
        <w:tc>
          <w:tcPr>
            <w:tcW w:w="2897" w:type="dxa"/>
            <w:shd w:val="clear"/>
            <w:vAlign w:val="center"/>
          </w:tcPr>
          <w:p w14:paraId="49D4149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30MHz—1000MHz辐射连续骚扰</w:t>
            </w:r>
          </w:p>
        </w:tc>
        <w:tc>
          <w:tcPr>
            <w:tcW w:w="4400" w:type="dxa"/>
            <w:shd w:val="clear"/>
            <w:vAlign w:val="center"/>
          </w:tcPr>
          <w:p w14:paraId="6E910A7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GB/T 22450.1—2008、GB/T 19484.1—2013、YD/T 1595.1—2012、YD/T 1592.1—2012、YD/T 2583.14—2013</w:t>
            </w:r>
          </w:p>
        </w:tc>
      </w:tr>
      <w:tr w14:paraId="4F0D9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3036D7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11</w:t>
            </w:r>
          </w:p>
        </w:tc>
        <w:tc>
          <w:tcPr>
            <w:tcW w:w="2897" w:type="dxa"/>
            <w:shd w:val="clear"/>
            <w:vAlign w:val="center"/>
          </w:tcPr>
          <w:p w14:paraId="061E6BF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静电放电抗扰度</w:t>
            </w:r>
          </w:p>
        </w:tc>
        <w:tc>
          <w:tcPr>
            <w:tcW w:w="4400" w:type="dxa"/>
            <w:shd w:val="clear"/>
            <w:vAlign w:val="center"/>
          </w:tcPr>
          <w:p w14:paraId="7DF9CA6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GB/T 22450.1—2008、GB/T 19484.1—2013、YD/T 1595.1—2012、YD/T 1592.1—2012、YD/T 2583.14—2013</w:t>
            </w:r>
          </w:p>
        </w:tc>
      </w:tr>
      <w:tr w14:paraId="6C171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09DB84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12</w:t>
            </w:r>
          </w:p>
        </w:tc>
        <w:tc>
          <w:tcPr>
            <w:tcW w:w="2897" w:type="dxa"/>
            <w:shd w:val="clear"/>
            <w:vAlign w:val="center"/>
          </w:tcPr>
          <w:p w14:paraId="22290E6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电快速瞬变脉冲群抗扰度</w:t>
            </w:r>
          </w:p>
        </w:tc>
        <w:tc>
          <w:tcPr>
            <w:tcW w:w="4400" w:type="dxa"/>
            <w:shd w:val="clear"/>
            <w:vAlign w:val="center"/>
          </w:tcPr>
          <w:p w14:paraId="170FDEA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GB/T 22450.1—2008、GB/T 19484.1—2013、YD/T 1595.1—2012、YD/T 1592.1—2012、YD/T 2583.14—2013</w:t>
            </w:r>
          </w:p>
        </w:tc>
      </w:tr>
      <w:tr w14:paraId="79A3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0F1CA2B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13</w:t>
            </w:r>
          </w:p>
        </w:tc>
        <w:tc>
          <w:tcPr>
            <w:tcW w:w="2897" w:type="dxa"/>
            <w:shd w:val="clear"/>
            <w:vAlign w:val="center"/>
          </w:tcPr>
          <w:p w14:paraId="3C0C50A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浪涌（冲击）抗扰度</w:t>
            </w:r>
          </w:p>
        </w:tc>
        <w:tc>
          <w:tcPr>
            <w:tcW w:w="4400" w:type="dxa"/>
            <w:shd w:val="clear"/>
            <w:vAlign w:val="center"/>
          </w:tcPr>
          <w:p w14:paraId="2A64571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GB/T 22450.1—2008、GB/T 19484.1—2013、YD/T 1595.1—2012、YD/T 1592.1—2012、YD/T 2583.14—2013</w:t>
            </w:r>
          </w:p>
        </w:tc>
      </w:tr>
    </w:tbl>
    <w:p w14:paraId="634DEF3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6172471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453FC8C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 4943.1-2022《音视频、信息技术和通信技术设备 第1部分:安全要求》</w:t>
      </w:r>
    </w:p>
    <w:p w14:paraId="658C6B2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22450.1-2008《900/1800MHz TDMA 数字蜂窝移动通信系统电磁兼容性限值和测量方法第1部分:移动台及其辅助设备》</w:t>
      </w:r>
    </w:p>
    <w:p w14:paraId="7114D56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19484.1-2013《800MHz/2GHz cdma2000数字蜂窝移动通信系统的电磁兼容性要求和测量方法 第1部分：用户设备及其辅助设备》</w:t>
      </w:r>
    </w:p>
    <w:p w14:paraId="474CA20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YD/T 1595.1-2012《2GHz WCDMA数字蜂窝移动通信系统电磁兼容性要求和测量方法 第1部分：用户设备及其辅助设备》</w:t>
      </w:r>
    </w:p>
    <w:p w14:paraId="61F16C1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YD/T 1592.1-2012《2GHz TD-SCDMA数字蜂窝移动通信系统电磁兼容性要求和测量方法 第1部分：用户设备及其辅助设备》</w:t>
      </w:r>
    </w:p>
    <w:p w14:paraId="05CD98D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YD/T 2583.14-2013《蜂窝式移动通信设备电磁兼容性要求和测量方法第14部分：LTE用户设备及其辅助设备》</w:t>
      </w:r>
    </w:p>
    <w:p w14:paraId="3B6E013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YD/T 2583.18-2019《蜂窝式移动通信设备电磁兼容性能要求和测量方法第18部分：5G用户设备和辅助设备》</w:t>
      </w:r>
    </w:p>
    <w:p w14:paraId="06319E4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YD/T 1483-2016《无线电设备杂散发射技术要求和测量方法》</w:t>
      </w:r>
    </w:p>
    <w:p w14:paraId="3891067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9254.1-2021《信息技术设备、多媒体设备和接收机 电磁兼容 第1部分:发射》</w:t>
      </w:r>
    </w:p>
    <w:p w14:paraId="2EB10D4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17626.2-2018《电磁兼容 试验和测量技术 静电放电抗扰度试验》</w:t>
      </w:r>
    </w:p>
    <w:p w14:paraId="5957D3D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17626.4-2018《电磁兼容 试验和测量技术 电快速瞬变脉冲群抗扰度试验》</w:t>
      </w:r>
    </w:p>
    <w:p w14:paraId="1966673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17626.5-2019《电磁兼容 试验和测量技术 浪涌（冲击）抗扰度试验》</w:t>
      </w:r>
    </w:p>
    <w:p w14:paraId="75016C8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04CF8E0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3ED3965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3DB1ECE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55CEDAB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6068A93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7D227A8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319B8C6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7E91A61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43FF8C6-26E4-40D9-BB43-7E0AE081DB1D}"/>
  </w:font>
  <w:font w:name="Cambria">
    <w:panose1 w:val="02040503050406030204"/>
    <w:charset w:val="00"/>
    <w:family w:val="roman"/>
    <w:pitch w:val="default"/>
    <w:sig w:usb0="E00006FF" w:usb1="420024FF" w:usb2="02000000" w:usb3="00000000" w:csb0="2000019F" w:csb1="00000000"/>
  </w:font>
  <w:font w:name="方正黑体_GBK">
    <w:altName w:val="微软雅黑"/>
    <w:panose1 w:val="02000000000000000000"/>
    <w:charset w:val="86"/>
    <w:family w:val="auto"/>
    <w:pitch w:val="default"/>
    <w:sig w:usb0="00000000" w:usb1="00000000" w:usb2="00000000" w:usb3="00000000" w:csb0="00040000" w:csb1="00000000"/>
    <w:embedRegular r:id="rId2" w:fontKey="{57447F02-2971-48EA-9E3E-F06B88311A95}"/>
  </w:font>
  <w:font w:name="方正仿宋_GBK">
    <w:panose1 w:val="02000000000000000000"/>
    <w:charset w:val="86"/>
    <w:family w:val="auto"/>
    <w:pitch w:val="default"/>
    <w:sig w:usb0="A00002BF" w:usb1="38CF7CFA" w:usb2="00082016" w:usb3="00000000" w:csb0="00040001" w:csb1="00000000"/>
    <w:embedRegular r:id="rId3" w:fontKey="{3358B4B4-7AEE-4FC4-801B-9E4C61DE0907}"/>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1F85791C"/>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4">
    <w:name w:val="Body Text First Indent 2"/>
    <w:basedOn w:val="2"/>
    <w:unhideWhenUsed/>
    <w:qFormat/>
    <w:uiPriority w:val="99"/>
    <w:pPr>
      <w:spacing w:after="120"/>
      <w:ind w:left="420" w:firstLine="420"/>
    </w:pPr>
    <w:rPr>
      <w:rFonts w:ascii="Calibri" w:hAnsi="Calibri" w:eastAsia="宋体" w:cs="Times New Roman"/>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797</Words>
  <Characters>962</Characters>
  <Lines>0</Lines>
  <Paragraphs>0</Paragraphs>
  <TotalTime>0</TotalTime>
  <ScaleCrop>false</ScaleCrop>
  <LinksUpToDate>false</LinksUpToDate>
  <CharactersWithSpaces>982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陈明</cp:lastModifiedBy>
  <dcterms:modified xsi:type="dcterms:W3CDTF">2026-06-22T06:13:58Z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eyJoZGlkIjoiZGI4OGVjNTFlZjg5NWQxZjBlZjgxOTNiMWM1ODA5YzYiLCJ1c2VySWQiOiIzOTg0MzY5ODkifQ==</vt:lpwstr>
  </property>
  <property fmtid="{D5CDD505-2E9C-101B-9397-08002B2CF9AE}" pid="4" name="ICV">
    <vt:lpwstr>4F8E39D38C594BA4AC2F1199CE785323_13</vt:lpwstr>
  </property>
</Properties>
</file>