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BA149E">
      <w:pPr>
        <w:snapToGrid w:val="0"/>
        <w:spacing w:line="580" w:lineRule="exact"/>
        <w:jc w:val="center"/>
        <w:rPr>
          <w:rFonts w:hint="default" w:ascii="Times New Roman" w:hAnsi="Times New Roman" w:eastAsia="方正小标宋_GBK" w:cs="Times New Roman"/>
          <w:color w:val="000000"/>
          <w:sz w:val="44"/>
          <w:szCs w:val="44"/>
        </w:rPr>
      </w:pPr>
      <w:r>
        <w:rPr>
          <w:rFonts w:hint="default" w:ascii="Times New Roman" w:hAnsi="Times New Roman" w:eastAsia="方正小标宋_GBK" w:cs="Times New Roman"/>
          <w:color w:val="000000"/>
          <w:sz w:val="44"/>
          <w:szCs w:val="44"/>
        </w:rPr>
        <w:t>202</w:t>
      </w:r>
      <w:r>
        <w:rPr>
          <w:rFonts w:hint="default" w:ascii="Times New Roman" w:hAnsi="Times New Roman" w:eastAsia="方正小标宋_GBK" w:cs="Times New Roman"/>
          <w:color w:val="000000"/>
          <w:sz w:val="44"/>
          <w:szCs w:val="44"/>
          <w:lang w:val="en-US" w:eastAsia="zh-CN"/>
        </w:rPr>
        <w:t>6</w:t>
      </w:r>
      <w:r>
        <w:rPr>
          <w:rFonts w:hint="default" w:ascii="Times New Roman" w:hAnsi="Times New Roman" w:eastAsia="方正小标宋_GBK" w:cs="Times New Roman"/>
          <w:color w:val="000000"/>
          <w:sz w:val="44"/>
          <w:szCs w:val="44"/>
        </w:rPr>
        <w:t>年</w:t>
      </w:r>
      <w:r>
        <w:rPr>
          <w:rFonts w:hint="default" w:ascii="Times New Roman" w:hAnsi="Times New Roman" w:eastAsia="方正小标宋_GBK" w:cs="Times New Roman"/>
          <w:color w:val="000000"/>
          <w:sz w:val="44"/>
          <w:szCs w:val="44"/>
          <w:lang w:eastAsia="zh-CN"/>
        </w:rPr>
        <w:t>宜兴</w:t>
      </w:r>
      <w:r>
        <w:rPr>
          <w:rFonts w:hint="default" w:ascii="Times New Roman" w:hAnsi="Times New Roman" w:eastAsia="方正小标宋_GBK" w:cs="Times New Roman"/>
          <w:color w:val="000000"/>
          <w:sz w:val="44"/>
          <w:szCs w:val="44"/>
        </w:rPr>
        <w:t>市</w:t>
      </w:r>
      <w:r>
        <w:rPr>
          <w:rFonts w:hint="eastAsia" w:ascii="Times New Roman" w:hAnsi="Times New Roman" w:eastAsia="方正小标宋_GBK" w:cs="Times New Roman"/>
          <w:color w:val="000000"/>
          <w:sz w:val="44"/>
          <w:szCs w:val="44"/>
          <w:lang w:val="en-US" w:eastAsia="zh-CN"/>
        </w:rPr>
        <w:t>学生</w:t>
      </w:r>
      <w:r>
        <w:rPr>
          <w:rFonts w:hint="default" w:ascii="Times New Roman" w:hAnsi="Times New Roman" w:eastAsia="方正小标宋_GBK" w:cs="Times New Roman"/>
          <w:color w:val="000000"/>
          <w:sz w:val="44"/>
          <w:szCs w:val="44"/>
        </w:rPr>
        <w:t>书包产品质量监督抽查</w:t>
      </w:r>
    </w:p>
    <w:p w14:paraId="7A22FB9C">
      <w:pPr>
        <w:snapToGrid w:val="0"/>
        <w:spacing w:line="580" w:lineRule="exact"/>
        <w:jc w:val="center"/>
        <w:rPr>
          <w:rFonts w:hint="default" w:ascii="Times New Roman" w:hAnsi="Times New Roman" w:eastAsia="方正小标宋_GBK" w:cs="Times New Roman"/>
          <w:color w:val="000000"/>
          <w:sz w:val="44"/>
          <w:szCs w:val="44"/>
        </w:rPr>
      </w:pPr>
      <w:r>
        <w:rPr>
          <w:rFonts w:hint="default" w:ascii="Times New Roman" w:hAnsi="Times New Roman" w:eastAsia="方正小标宋_GBK" w:cs="Times New Roman"/>
          <w:color w:val="000000"/>
          <w:sz w:val="44"/>
          <w:szCs w:val="44"/>
        </w:rPr>
        <w:t>实施细则</w:t>
      </w:r>
    </w:p>
    <w:p w14:paraId="25F7194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黑体_GBK" w:cs="Times New Roman"/>
          <w:kern w:val="0"/>
          <w:sz w:val="32"/>
          <w:szCs w:val="32"/>
          <w:shd w:val="clear" w:color="auto" w:fill="FFFFFF"/>
          <w:lang w:val="en-US" w:eastAsia="zh-CN" w:bidi="ar"/>
        </w:rPr>
      </w:pPr>
      <w:r>
        <w:rPr>
          <w:rFonts w:hint="default" w:ascii="Times New Roman" w:hAnsi="Times New Roman" w:eastAsia="方正黑体_GBK" w:cs="Times New Roman"/>
          <w:kern w:val="0"/>
          <w:sz w:val="32"/>
          <w:szCs w:val="32"/>
          <w:shd w:val="clear" w:color="auto" w:fill="FFFFFF"/>
          <w:lang w:val="en-US" w:eastAsia="zh-CN" w:bidi="ar"/>
        </w:rPr>
        <w:t xml:space="preserve"> 1.范围</w:t>
      </w:r>
    </w:p>
    <w:p w14:paraId="757F516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本细则适用于宜兴市市场监督管理局组织的</w:t>
      </w:r>
      <w:r>
        <w:rPr>
          <w:rFonts w:hint="eastAsia" w:ascii="Times New Roman" w:hAnsi="Times New Roman" w:eastAsia="方正仿宋_GBK" w:cs="Times New Roman"/>
          <w:sz w:val="32"/>
          <w:szCs w:val="32"/>
          <w:lang w:val="en-US" w:eastAsia="zh-CN"/>
        </w:rPr>
        <w:t>学生</w:t>
      </w:r>
      <w:r>
        <w:rPr>
          <w:rFonts w:hint="default" w:ascii="Times New Roman" w:hAnsi="Times New Roman" w:eastAsia="方正仿宋_GBK" w:cs="Times New Roman"/>
          <w:sz w:val="32"/>
          <w:szCs w:val="32"/>
          <w:lang w:val="en-US" w:eastAsia="zh-CN"/>
        </w:rPr>
        <w:t>书包产品质量监督抽查检验。本细则规定了此产品的抽样方法、检验依据、检验项目、检验方法、判定原则、异议处理及复检。</w:t>
      </w:r>
    </w:p>
    <w:p w14:paraId="0D9FFBA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黑体_GBK" w:cs="Times New Roman"/>
          <w:kern w:val="0"/>
          <w:sz w:val="32"/>
          <w:szCs w:val="32"/>
          <w:shd w:val="clear" w:color="auto" w:fill="FFFFFF"/>
          <w:lang w:val="en-US" w:eastAsia="zh-CN" w:bidi="ar"/>
        </w:rPr>
      </w:pPr>
      <w:r>
        <w:rPr>
          <w:rFonts w:hint="default" w:ascii="Times New Roman" w:hAnsi="Times New Roman" w:eastAsia="方正黑体_GBK" w:cs="Times New Roman"/>
          <w:kern w:val="0"/>
          <w:sz w:val="32"/>
          <w:szCs w:val="32"/>
          <w:shd w:val="clear" w:color="auto" w:fill="FFFFFF"/>
          <w:lang w:val="en-US" w:eastAsia="zh-CN" w:bidi="ar"/>
        </w:rPr>
        <w:t>2.抽样方法</w:t>
      </w:r>
    </w:p>
    <w:p w14:paraId="2F0071BE">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方正仿宋_GBK" w:cs="Times New Roman"/>
          <w:b/>
          <w:bCs/>
          <w:sz w:val="32"/>
          <w:szCs w:val="32"/>
          <w:lang w:val="en-US" w:eastAsia="zh-CN"/>
        </w:rPr>
      </w:pPr>
      <w:r>
        <w:rPr>
          <w:rFonts w:hint="default" w:ascii="Times New Roman" w:hAnsi="Times New Roman" w:eastAsia="方正仿宋_GBK" w:cs="Times New Roman"/>
          <w:b/>
          <w:bCs/>
          <w:sz w:val="32"/>
          <w:szCs w:val="32"/>
          <w:lang w:val="en-US" w:eastAsia="zh-CN"/>
        </w:rPr>
        <w:t>2.1生产企业、实体店抽样</w:t>
      </w:r>
    </w:p>
    <w:p w14:paraId="676C397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在受检企业的成品仓库或者其确认场所，随机抽取有产品质量检验合格证明或者其他形式表明合格的待销产品，抽样基数应满足抽样要求。抽样过程均需拍照留证。一经抽样，立即封样，任何人不得调换。</w:t>
      </w:r>
    </w:p>
    <w:p w14:paraId="7A4C5A1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黑体_GBK" w:cs="Times New Roman"/>
          <w:kern w:val="0"/>
          <w:sz w:val="32"/>
          <w:szCs w:val="32"/>
          <w:shd w:val="clear" w:color="auto" w:fill="FFFFFF"/>
          <w:lang w:val="en-US" w:eastAsia="zh-CN" w:bidi="ar"/>
        </w:rPr>
      </w:pPr>
      <w:r>
        <w:rPr>
          <w:rFonts w:hint="default" w:ascii="Times New Roman" w:hAnsi="Times New Roman" w:eastAsia="方正黑体_GBK" w:cs="Times New Roman"/>
          <w:kern w:val="0"/>
          <w:sz w:val="32"/>
          <w:szCs w:val="32"/>
          <w:shd w:val="clear" w:color="auto" w:fill="FFFFFF"/>
          <w:lang w:val="en-US" w:eastAsia="zh-CN" w:bidi="ar"/>
        </w:rPr>
        <w:t>3.检验依据</w:t>
      </w:r>
    </w:p>
    <w:p w14:paraId="20873CE1">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Times New Roman" w:hAnsi="Times New Roman" w:eastAsia="方正仿宋_GBK" w:cs="Times New Roman"/>
          <w:color w:val="000000"/>
          <w:sz w:val="28"/>
          <w:szCs w:val="28"/>
          <w:lang w:val="zh-CN" w:eastAsia="zh-CN"/>
        </w:rPr>
      </w:pPr>
      <w:r>
        <w:rPr>
          <w:rFonts w:hint="eastAsia" w:ascii="Times New Roman" w:hAnsi="Times New Roman" w:eastAsia="方正仿宋_GBK" w:cs="Times New Roman"/>
          <w:color w:val="000000"/>
          <w:sz w:val="28"/>
          <w:szCs w:val="28"/>
          <w:lang w:val="zh-CN" w:eastAsia="zh-CN"/>
        </w:rPr>
        <w:t>表</w:t>
      </w:r>
      <w:r>
        <w:rPr>
          <w:rFonts w:hint="eastAsia" w:ascii="Times New Roman" w:hAnsi="Times New Roman" w:eastAsia="方正仿宋_GBK" w:cs="Times New Roman"/>
          <w:color w:val="000000"/>
          <w:sz w:val="28"/>
          <w:szCs w:val="28"/>
          <w:lang w:val="en-US" w:eastAsia="zh-CN"/>
        </w:rPr>
        <w:t>1</w:t>
      </w:r>
      <w:r>
        <w:rPr>
          <w:rFonts w:hint="eastAsia" w:eastAsia="方正仿宋_GBK" w:cs="Times New Roman"/>
          <w:color w:val="000000"/>
          <w:sz w:val="28"/>
          <w:szCs w:val="28"/>
          <w:lang w:val="en-US" w:eastAsia="zh-CN"/>
        </w:rPr>
        <w:t>学生</w:t>
      </w:r>
      <w:r>
        <w:rPr>
          <w:rFonts w:hint="eastAsia" w:ascii="Times New Roman" w:hAnsi="Times New Roman" w:eastAsia="方正仿宋_GBK" w:cs="Times New Roman"/>
          <w:color w:val="000000"/>
          <w:sz w:val="28"/>
          <w:szCs w:val="28"/>
          <w:lang w:val="zh-CN" w:eastAsia="zh-CN"/>
        </w:rPr>
        <w:t>书包（执行标准QB/T 1333-2018）</w:t>
      </w:r>
      <w:r>
        <w:rPr>
          <w:rFonts w:hint="default" w:ascii="Times New Roman" w:hAnsi="Times New Roman" w:eastAsia="方正仿宋_GBK" w:cs="Times New Roman"/>
          <w:color w:val="000000"/>
          <w:sz w:val="28"/>
          <w:szCs w:val="28"/>
        </w:rPr>
        <w:t>检验项目</w:t>
      </w:r>
    </w:p>
    <w:tbl>
      <w:tblPr>
        <w:tblStyle w:val="8"/>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6"/>
        <w:gridCol w:w="3576"/>
        <w:gridCol w:w="2461"/>
        <w:gridCol w:w="2548"/>
      </w:tblGrid>
      <w:tr w14:paraId="1B504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6" w:type="dxa"/>
            <w:vMerge w:val="restart"/>
            <w:noWrap/>
            <w:vAlign w:val="center"/>
          </w:tcPr>
          <w:p w14:paraId="1D19522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kern w:val="0"/>
                <w:sz w:val="24"/>
                <w:szCs w:val="24"/>
                <w:shd w:val="clear" w:color="auto" w:fill="FFFFFF"/>
                <w:lang w:bidi="ar"/>
              </w:rPr>
            </w:pPr>
            <w:r>
              <w:rPr>
                <w:rFonts w:hint="default" w:ascii="Times New Roman" w:hAnsi="Times New Roman" w:eastAsia="方正仿宋_GB2312" w:cs="Times New Roman"/>
                <w:sz w:val="24"/>
                <w:szCs w:val="24"/>
                <w:highlight w:val="none"/>
                <w:lang w:val="en-US" w:eastAsia="zh-CN"/>
              </w:rPr>
              <w:t>序号</w:t>
            </w:r>
          </w:p>
        </w:tc>
        <w:tc>
          <w:tcPr>
            <w:tcW w:w="3576" w:type="dxa"/>
            <w:vMerge w:val="restart"/>
            <w:noWrap/>
            <w:vAlign w:val="center"/>
          </w:tcPr>
          <w:p w14:paraId="3EE46E4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kern w:val="0"/>
                <w:sz w:val="24"/>
                <w:szCs w:val="24"/>
                <w:shd w:val="clear" w:color="auto" w:fill="FFFFFF"/>
                <w:lang w:bidi="ar"/>
              </w:rPr>
            </w:pPr>
            <w:r>
              <w:rPr>
                <w:rFonts w:hint="default" w:ascii="Times New Roman" w:hAnsi="Times New Roman" w:eastAsia="方正仿宋_GB2312" w:cs="Times New Roman"/>
                <w:sz w:val="24"/>
                <w:szCs w:val="24"/>
                <w:highlight w:val="none"/>
                <w:lang w:val="en-US" w:eastAsia="zh-CN"/>
              </w:rPr>
              <w:t>检验检测项目</w:t>
            </w:r>
          </w:p>
        </w:tc>
        <w:tc>
          <w:tcPr>
            <w:tcW w:w="2461" w:type="dxa"/>
            <w:vMerge w:val="restart"/>
            <w:noWrap/>
            <w:vAlign w:val="center"/>
          </w:tcPr>
          <w:p w14:paraId="41B5EFD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kern w:val="0"/>
                <w:sz w:val="24"/>
                <w:szCs w:val="24"/>
                <w:shd w:val="clear" w:color="auto" w:fill="FFFFFF"/>
                <w:lang w:bidi="ar"/>
              </w:rPr>
            </w:pPr>
            <w:r>
              <w:rPr>
                <w:rFonts w:hint="default" w:ascii="Times New Roman" w:hAnsi="Times New Roman" w:eastAsia="方正仿宋_GB2312" w:cs="Times New Roman"/>
                <w:sz w:val="24"/>
                <w:szCs w:val="24"/>
                <w:highlight w:val="none"/>
                <w:lang w:val="en-US" w:eastAsia="zh-CN"/>
              </w:rPr>
              <w:t>检验检测依据</w:t>
            </w:r>
          </w:p>
        </w:tc>
        <w:tc>
          <w:tcPr>
            <w:tcW w:w="2548" w:type="dxa"/>
            <w:vMerge w:val="restart"/>
            <w:noWrap/>
            <w:vAlign w:val="center"/>
          </w:tcPr>
          <w:p w14:paraId="2A4BE38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kern w:val="0"/>
                <w:sz w:val="24"/>
                <w:szCs w:val="24"/>
                <w:shd w:val="clear" w:color="auto" w:fill="FFFFFF"/>
                <w:lang w:bidi="ar"/>
              </w:rPr>
            </w:pPr>
            <w:r>
              <w:rPr>
                <w:rFonts w:hint="default" w:ascii="Times New Roman" w:hAnsi="Times New Roman" w:eastAsia="方正仿宋_GB2312" w:cs="Times New Roman"/>
                <w:sz w:val="24"/>
                <w:szCs w:val="24"/>
                <w:highlight w:val="none"/>
                <w:lang w:val="en-US" w:eastAsia="zh-CN"/>
              </w:rPr>
              <w:t>检验检测方法</w:t>
            </w:r>
          </w:p>
        </w:tc>
      </w:tr>
      <w:tr w14:paraId="00D59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4" w:type="pct"/>
            <w:vMerge w:val="continue"/>
            <w:noWrap/>
            <w:vAlign w:val="center"/>
          </w:tcPr>
          <w:p w14:paraId="3A62F7FC">
            <w:pPr>
              <w:jc w:val="center"/>
              <w:rPr>
                <w:rFonts w:hint="eastAsia" w:ascii="Times New Roman" w:hAnsi="Times New Roman" w:eastAsia="仿宋" w:cs="Times New Roman"/>
                <w:kern w:val="0"/>
                <w:sz w:val="24"/>
                <w:szCs w:val="24"/>
                <w:shd w:val="clear" w:color="auto" w:fill="FFFFFF"/>
                <w:lang w:bidi="ar"/>
              </w:rPr>
            </w:pPr>
          </w:p>
        </w:tc>
        <w:tc>
          <w:tcPr>
            <w:tcW w:w="1926" w:type="pct"/>
            <w:vMerge w:val="continue"/>
            <w:noWrap/>
            <w:vAlign w:val="center"/>
          </w:tcPr>
          <w:p w14:paraId="37234867">
            <w:pPr>
              <w:jc w:val="center"/>
              <w:rPr>
                <w:rFonts w:hint="eastAsia" w:ascii="Times New Roman" w:hAnsi="Times New Roman" w:eastAsia="仿宋" w:cs="Times New Roman"/>
                <w:kern w:val="0"/>
                <w:sz w:val="24"/>
                <w:szCs w:val="24"/>
                <w:shd w:val="clear" w:color="auto" w:fill="FFFFFF"/>
                <w:lang w:bidi="ar"/>
              </w:rPr>
            </w:pPr>
          </w:p>
        </w:tc>
        <w:tc>
          <w:tcPr>
            <w:tcW w:w="1326" w:type="pct"/>
            <w:vMerge w:val="continue"/>
            <w:noWrap/>
            <w:vAlign w:val="center"/>
          </w:tcPr>
          <w:p w14:paraId="50F6EFF5">
            <w:pPr>
              <w:jc w:val="center"/>
              <w:rPr>
                <w:rFonts w:hint="eastAsia" w:ascii="Times New Roman" w:hAnsi="Times New Roman" w:eastAsia="仿宋" w:cs="Times New Roman"/>
                <w:kern w:val="0"/>
                <w:sz w:val="24"/>
                <w:szCs w:val="24"/>
                <w:shd w:val="clear" w:color="auto" w:fill="FFFFFF"/>
                <w:lang w:bidi="ar"/>
              </w:rPr>
            </w:pPr>
          </w:p>
        </w:tc>
        <w:tc>
          <w:tcPr>
            <w:tcW w:w="1372" w:type="pct"/>
            <w:vMerge w:val="continue"/>
            <w:noWrap/>
            <w:vAlign w:val="center"/>
          </w:tcPr>
          <w:p w14:paraId="50751935">
            <w:pPr>
              <w:jc w:val="center"/>
              <w:rPr>
                <w:rFonts w:hint="eastAsia" w:ascii="Times New Roman" w:hAnsi="Times New Roman" w:eastAsia="仿宋" w:cs="Times New Roman"/>
                <w:kern w:val="0"/>
                <w:sz w:val="24"/>
                <w:szCs w:val="24"/>
                <w:shd w:val="clear" w:color="auto" w:fill="FFFFFF"/>
                <w:lang w:bidi="ar"/>
              </w:rPr>
            </w:pPr>
          </w:p>
        </w:tc>
      </w:tr>
      <w:tr w14:paraId="2CF3A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4" w:type="pct"/>
            <w:noWrap/>
            <w:vAlign w:val="center"/>
          </w:tcPr>
          <w:p w14:paraId="002C6CD7">
            <w:pPr>
              <w:jc w:val="center"/>
              <w:rPr>
                <w:rFonts w:hint="eastAsia" w:ascii="Times New Roman" w:hAnsi="Times New Roman" w:eastAsia="仿宋" w:cs="Times New Roman"/>
                <w:kern w:val="0"/>
                <w:sz w:val="24"/>
                <w:szCs w:val="24"/>
                <w:shd w:val="clear" w:color="auto" w:fill="FFFFFF"/>
                <w:lang w:bidi="ar"/>
              </w:rPr>
            </w:pPr>
            <w:r>
              <w:rPr>
                <w:rFonts w:hint="eastAsia" w:ascii="Times New Roman" w:hAnsi="Times New Roman" w:eastAsia="仿宋" w:cs="Times New Roman"/>
                <w:kern w:val="0"/>
                <w:sz w:val="24"/>
                <w:szCs w:val="24"/>
                <w:shd w:val="clear" w:color="auto" w:fill="FFFFFF"/>
                <w:lang w:bidi="ar"/>
              </w:rPr>
              <w:t>1</w:t>
            </w:r>
          </w:p>
        </w:tc>
        <w:tc>
          <w:tcPr>
            <w:tcW w:w="1926" w:type="pct"/>
            <w:shd w:val="clear" w:color="auto" w:fill="auto"/>
            <w:noWrap/>
            <w:vAlign w:val="center"/>
          </w:tcPr>
          <w:p w14:paraId="66D4CC73">
            <w:pPr>
              <w:jc w:val="center"/>
              <w:rPr>
                <w:rFonts w:hint="eastAsia" w:ascii="Times New Roman" w:hAnsi="Times New Roman" w:eastAsia="仿宋" w:cs="Times New Roman"/>
                <w:kern w:val="0"/>
                <w:sz w:val="24"/>
                <w:szCs w:val="24"/>
                <w:shd w:val="clear" w:color="auto" w:fill="FFFFFF"/>
                <w:lang w:val="en-US" w:eastAsia="zh-CN" w:bidi="ar"/>
              </w:rPr>
            </w:pPr>
            <w:r>
              <w:rPr>
                <w:rFonts w:hint="eastAsia" w:ascii="Times New Roman" w:hAnsi="Times New Roman" w:eastAsia="仿宋" w:cs="Times New Roman"/>
                <w:kern w:val="0"/>
                <w:sz w:val="24"/>
                <w:szCs w:val="24"/>
                <w:shd w:val="clear" w:color="auto" w:fill="FFFFFF"/>
                <w:lang w:bidi="ar"/>
              </w:rPr>
              <w:t>振荡冲击性能</w:t>
            </w:r>
          </w:p>
        </w:tc>
        <w:tc>
          <w:tcPr>
            <w:tcW w:w="1326" w:type="pct"/>
            <w:vMerge w:val="restart"/>
            <w:noWrap/>
            <w:vAlign w:val="center"/>
          </w:tcPr>
          <w:p w14:paraId="01F32804">
            <w:pPr>
              <w:jc w:val="center"/>
              <w:rPr>
                <w:rFonts w:hint="eastAsia" w:ascii="Times New Roman" w:hAnsi="Times New Roman" w:eastAsia="仿宋" w:cs="Times New Roman"/>
                <w:kern w:val="0"/>
                <w:sz w:val="24"/>
                <w:szCs w:val="24"/>
                <w:shd w:val="clear" w:color="auto" w:fill="FFFFFF"/>
                <w:lang w:bidi="ar"/>
              </w:rPr>
            </w:pPr>
            <w:r>
              <w:rPr>
                <w:rFonts w:hint="eastAsia" w:ascii="Times New Roman" w:hAnsi="Times New Roman" w:eastAsia="仿宋" w:cs="Times New Roman"/>
                <w:kern w:val="0"/>
                <w:sz w:val="24"/>
                <w:szCs w:val="24"/>
                <w:shd w:val="clear" w:color="auto" w:fill="FFFFFF"/>
                <w:lang w:bidi="ar"/>
              </w:rPr>
              <w:t xml:space="preserve">GB 21027—2020 </w:t>
            </w:r>
          </w:p>
          <w:p w14:paraId="5FC0E4A0">
            <w:pPr>
              <w:jc w:val="center"/>
              <w:rPr>
                <w:rFonts w:hint="eastAsia" w:ascii="Times New Roman" w:hAnsi="Times New Roman" w:eastAsia="仿宋" w:cs="Times New Roman"/>
                <w:kern w:val="0"/>
                <w:sz w:val="24"/>
                <w:szCs w:val="24"/>
                <w:shd w:val="clear" w:color="auto" w:fill="FFFFFF"/>
                <w:lang w:bidi="ar"/>
              </w:rPr>
            </w:pPr>
            <w:r>
              <w:rPr>
                <w:rFonts w:hint="eastAsia" w:ascii="Times New Roman" w:hAnsi="Times New Roman" w:eastAsia="仿宋" w:cs="Times New Roman"/>
                <w:kern w:val="0"/>
                <w:sz w:val="24"/>
                <w:szCs w:val="24"/>
                <w:shd w:val="clear" w:color="auto" w:fill="FFFFFF"/>
                <w:lang w:bidi="ar"/>
              </w:rPr>
              <w:t>QB/T 1333—2018</w:t>
            </w:r>
          </w:p>
        </w:tc>
        <w:tc>
          <w:tcPr>
            <w:tcW w:w="1372" w:type="pct"/>
            <w:noWrap/>
            <w:vAlign w:val="center"/>
          </w:tcPr>
          <w:p w14:paraId="266598E8">
            <w:pPr>
              <w:jc w:val="center"/>
              <w:rPr>
                <w:rFonts w:hint="eastAsia" w:ascii="Times New Roman" w:hAnsi="Times New Roman" w:eastAsia="仿宋" w:cs="Times New Roman"/>
                <w:kern w:val="0"/>
                <w:sz w:val="24"/>
                <w:szCs w:val="24"/>
                <w:shd w:val="clear" w:color="auto" w:fill="FFFFFF"/>
                <w:lang w:bidi="ar"/>
              </w:rPr>
            </w:pPr>
            <w:r>
              <w:rPr>
                <w:rFonts w:hint="eastAsia" w:ascii="Times New Roman" w:hAnsi="Times New Roman" w:eastAsia="仿宋" w:cs="Times New Roman"/>
                <w:kern w:val="0"/>
                <w:sz w:val="24"/>
                <w:szCs w:val="24"/>
                <w:shd w:val="clear" w:color="auto" w:fill="FFFFFF"/>
                <w:lang w:bidi="ar"/>
              </w:rPr>
              <w:t>QB/T 2922—2018</w:t>
            </w:r>
          </w:p>
          <w:p w14:paraId="3769FB6C">
            <w:pPr>
              <w:jc w:val="center"/>
              <w:rPr>
                <w:rFonts w:hint="eastAsia" w:ascii="Times New Roman" w:hAnsi="Times New Roman" w:eastAsia="仿宋" w:cs="Times New Roman"/>
                <w:kern w:val="0"/>
                <w:sz w:val="24"/>
                <w:szCs w:val="24"/>
                <w:shd w:val="clear" w:color="auto" w:fill="FFFFFF"/>
                <w:lang w:bidi="ar"/>
              </w:rPr>
            </w:pPr>
            <w:r>
              <w:rPr>
                <w:rFonts w:hint="eastAsia" w:ascii="Times New Roman" w:hAnsi="Times New Roman" w:eastAsia="仿宋" w:cs="Times New Roman"/>
                <w:kern w:val="0"/>
                <w:sz w:val="24"/>
                <w:szCs w:val="24"/>
                <w:shd w:val="clear" w:color="auto" w:fill="FFFFFF"/>
                <w:lang w:bidi="ar"/>
              </w:rPr>
              <w:t>QB/T 5083—2017</w:t>
            </w:r>
          </w:p>
          <w:p w14:paraId="59CB0AFE">
            <w:pPr>
              <w:jc w:val="center"/>
              <w:rPr>
                <w:rFonts w:hint="eastAsia" w:ascii="Times New Roman" w:hAnsi="Times New Roman" w:eastAsia="仿宋" w:cs="Times New Roman"/>
                <w:kern w:val="0"/>
                <w:sz w:val="24"/>
                <w:szCs w:val="24"/>
                <w:shd w:val="clear" w:color="auto" w:fill="FFFFFF"/>
                <w:lang w:bidi="ar"/>
              </w:rPr>
            </w:pPr>
            <w:r>
              <w:rPr>
                <w:rFonts w:hint="eastAsia" w:ascii="Times New Roman" w:hAnsi="Times New Roman" w:eastAsia="仿宋" w:cs="Times New Roman"/>
                <w:kern w:val="0"/>
                <w:sz w:val="24"/>
                <w:szCs w:val="24"/>
                <w:shd w:val="clear" w:color="auto" w:fill="FFFFFF"/>
                <w:lang w:bidi="ar"/>
              </w:rPr>
              <w:t>QB/T 1333—2018</w:t>
            </w:r>
          </w:p>
        </w:tc>
      </w:tr>
      <w:tr w14:paraId="2D9D9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4" w:type="pct"/>
            <w:noWrap/>
            <w:vAlign w:val="center"/>
          </w:tcPr>
          <w:p w14:paraId="48ECBE19">
            <w:pPr>
              <w:jc w:val="center"/>
              <w:rPr>
                <w:rFonts w:hint="eastAsia" w:ascii="Times New Roman" w:hAnsi="Times New Roman" w:eastAsia="仿宋" w:cs="Times New Roman"/>
                <w:kern w:val="0"/>
                <w:sz w:val="24"/>
                <w:szCs w:val="24"/>
                <w:shd w:val="clear" w:color="auto" w:fill="FFFFFF"/>
                <w:lang w:bidi="ar"/>
              </w:rPr>
            </w:pPr>
            <w:r>
              <w:rPr>
                <w:rFonts w:hint="eastAsia" w:ascii="Times New Roman" w:hAnsi="Times New Roman" w:eastAsia="仿宋" w:cs="Times New Roman"/>
                <w:kern w:val="0"/>
                <w:sz w:val="24"/>
                <w:szCs w:val="24"/>
                <w:shd w:val="clear" w:color="auto" w:fill="FFFFFF"/>
                <w:lang w:bidi="ar"/>
              </w:rPr>
              <w:t>2</w:t>
            </w:r>
          </w:p>
        </w:tc>
        <w:tc>
          <w:tcPr>
            <w:tcW w:w="1926" w:type="pct"/>
            <w:shd w:val="clear" w:color="auto" w:fill="auto"/>
            <w:noWrap/>
            <w:vAlign w:val="center"/>
          </w:tcPr>
          <w:p w14:paraId="60DE1A61">
            <w:pPr>
              <w:jc w:val="center"/>
              <w:rPr>
                <w:rFonts w:hint="eastAsia" w:ascii="Times New Roman" w:hAnsi="Times New Roman" w:eastAsia="仿宋" w:cs="Times New Roman"/>
                <w:kern w:val="0"/>
                <w:sz w:val="24"/>
                <w:szCs w:val="24"/>
                <w:shd w:val="clear" w:color="auto" w:fill="FFFFFF"/>
                <w:lang w:val="en-US" w:eastAsia="zh-CN" w:bidi="ar"/>
              </w:rPr>
            </w:pPr>
            <w:r>
              <w:rPr>
                <w:rFonts w:hint="eastAsia" w:ascii="Times New Roman" w:hAnsi="Times New Roman" w:eastAsia="仿宋" w:cs="Times New Roman"/>
                <w:kern w:val="0"/>
                <w:sz w:val="24"/>
                <w:szCs w:val="24"/>
                <w:shd w:val="clear" w:color="auto" w:fill="FFFFFF"/>
                <w:lang w:bidi="ar"/>
              </w:rPr>
              <w:t>缝合强度</w:t>
            </w:r>
          </w:p>
        </w:tc>
        <w:tc>
          <w:tcPr>
            <w:tcW w:w="1326" w:type="pct"/>
            <w:vMerge w:val="continue"/>
            <w:noWrap/>
            <w:vAlign w:val="center"/>
          </w:tcPr>
          <w:p w14:paraId="5BD7F726">
            <w:pPr>
              <w:jc w:val="center"/>
              <w:rPr>
                <w:rFonts w:hint="eastAsia" w:ascii="Times New Roman" w:hAnsi="Times New Roman" w:eastAsia="仿宋" w:cs="Times New Roman"/>
                <w:kern w:val="0"/>
                <w:sz w:val="24"/>
                <w:szCs w:val="24"/>
                <w:shd w:val="clear" w:color="auto" w:fill="FFFFFF"/>
                <w:lang w:bidi="ar"/>
              </w:rPr>
            </w:pPr>
          </w:p>
        </w:tc>
        <w:tc>
          <w:tcPr>
            <w:tcW w:w="1372" w:type="pct"/>
            <w:noWrap/>
            <w:vAlign w:val="center"/>
          </w:tcPr>
          <w:p w14:paraId="1D71AE61">
            <w:pPr>
              <w:jc w:val="center"/>
              <w:rPr>
                <w:rFonts w:hint="eastAsia" w:ascii="Times New Roman" w:hAnsi="Times New Roman" w:eastAsia="仿宋" w:cs="Times New Roman"/>
                <w:kern w:val="0"/>
                <w:sz w:val="24"/>
                <w:szCs w:val="24"/>
                <w:shd w:val="clear" w:color="auto" w:fill="FFFFFF"/>
                <w:lang w:bidi="ar"/>
              </w:rPr>
            </w:pPr>
            <w:r>
              <w:rPr>
                <w:rFonts w:hint="eastAsia" w:ascii="Times New Roman" w:hAnsi="Times New Roman" w:eastAsia="仿宋" w:cs="Times New Roman"/>
                <w:kern w:val="0"/>
                <w:sz w:val="24"/>
                <w:szCs w:val="24"/>
                <w:shd w:val="clear" w:color="auto" w:fill="FFFFFF"/>
                <w:lang w:bidi="ar"/>
              </w:rPr>
              <w:t>QB/T 1333—2018</w:t>
            </w:r>
          </w:p>
        </w:tc>
      </w:tr>
      <w:tr w14:paraId="78920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4" w:type="pct"/>
            <w:noWrap/>
            <w:vAlign w:val="center"/>
          </w:tcPr>
          <w:p w14:paraId="72E476CF">
            <w:pPr>
              <w:jc w:val="center"/>
              <w:rPr>
                <w:rFonts w:hint="eastAsia" w:ascii="Times New Roman" w:hAnsi="Times New Roman" w:eastAsia="仿宋" w:cs="Times New Roman"/>
                <w:kern w:val="0"/>
                <w:sz w:val="24"/>
                <w:szCs w:val="24"/>
                <w:shd w:val="clear" w:color="auto" w:fill="FFFFFF"/>
                <w:lang w:bidi="ar"/>
              </w:rPr>
            </w:pPr>
            <w:r>
              <w:rPr>
                <w:rFonts w:hint="eastAsia" w:ascii="Times New Roman" w:hAnsi="Times New Roman" w:eastAsia="仿宋" w:cs="Times New Roman"/>
                <w:kern w:val="0"/>
                <w:sz w:val="24"/>
                <w:szCs w:val="24"/>
                <w:shd w:val="clear" w:color="auto" w:fill="FFFFFF"/>
                <w:lang w:bidi="ar"/>
              </w:rPr>
              <w:t>3</w:t>
            </w:r>
          </w:p>
        </w:tc>
        <w:tc>
          <w:tcPr>
            <w:tcW w:w="1926" w:type="pct"/>
            <w:shd w:val="clear" w:color="auto" w:fill="auto"/>
            <w:noWrap/>
            <w:vAlign w:val="center"/>
          </w:tcPr>
          <w:p w14:paraId="191C9B41">
            <w:pPr>
              <w:jc w:val="center"/>
              <w:rPr>
                <w:rFonts w:hint="eastAsia" w:ascii="Times New Roman" w:hAnsi="Times New Roman" w:eastAsia="仿宋" w:cs="Times New Roman"/>
                <w:kern w:val="0"/>
                <w:sz w:val="24"/>
                <w:szCs w:val="24"/>
                <w:shd w:val="clear" w:color="auto" w:fill="FFFFFF"/>
                <w:lang w:val="en-US" w:eastAsia="zh-CN" w:bidi="ar"/>
              </w:rPr>
            </w:pPr>
            <w:r>
              <w:rPr>
                <w:rFonts w:hint="eastAsia" w:ascii="Times New Roman" w:hAnsi="Times New Roman" w:eastAsia="仿宋" w:cs="Times New Roman"/>
                <w:kern w:val="0"/>
                <w:sz w:val="24"/>
                <w:szCs w:val="24"/>
                <w:shd w:val="clear" w:color="auto" w:fill="FFFFFF"/>
                <w:lang w:bidi="ar"/>
              </w:rPr>
              <w:t>可迁移元素的限量</w:t>
            </w:r>
          </w:p>
        </w:tc>
        <w:tc>
          <w:tcPr>
            <w:tcW w:w="1326" w:type="pct"/>
            <w:vMerge w:val="continue"/>
            <w:noWrap/>
            <w:vAlign w:val="center"/>
          </w:tcPr>
          <w:p w14:paraId="7DBC9CE8">
            <w:pPr>
              <w:jc w:val="center"/>
              <w:rPr>
                <w:rFonts w:hint="eastAsia" w:ascii="Times New Roman" w:hAnsi="Times New Roman" w:eastAsia="仿宋" w:cs="Times New Roman"/>
                <w:kern w:val="0"/>
                <w:sz w:val="24"/>
                <w:szCs w:val="24"/>
                <w:shd w:val="clear" w:color="auto" w:fill="FFFFFF"/>
                <w:lang w:bidi="ar"/>
              </w:rPr>
            </w:pPr>
          </w:p>
        </w:tc>
        <w:tc>
          <w:tcPr>
            <w:tcW w:w="1372" w:type="pct"/>
            <w:noWrap/>
            <w:vAlign w:val="center"/>
          </w:tcPr>
          <w:p w14:paraId="1A2B3F8C">
            <w:pPr>
              <w:jc w:val="center"/>
              <w:rPr>
                <w:rFonts w:hint="eastAsia" w:ascii="Times New Roman" w:hAnsi="Times New Roman" w:eastAsia="仿宋" w:cs="Times New Roman"/>
                <w:kern w:val="0"/>
                <w:sz w:val="24"/>
                <w:szCs w:val="24"/>
                <w:shd w:val="clear" w:color="auto" w:fill="FFFFFF"/>
                <w:lang w:bidi="ar"/>
              </w:rPr>
            </w:pPr>
            <w:r>
              <w:rPr>
                <w:rFonts w:hint="eastAsia" w:ascii="Times New Roman" w:hAnsi="Times New Roman" w:eastAsia="仿宋" w:cs="Times New Roman"/>
                <w:kern w:val="0"/>
                <w:sz w:val="24"/>
                <w:szCs w:val="24"/>
                <w:shd w:val="clear" w:color="auto" w:fill="FFFFFF"/>
                <w:lang w:bidi="ar"/>
              </w:rPr>
              <w:t>GB 6675.4—2014</w:t>
            </w:r>
          </w:p>
        </w:tc>
      </w:tr>
      <w:tr w14:paraId="48511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4" w:type="pct"/>
            <w:noWrap/>
            <w:vAlign w:val="center"/>
          </w:tcPr>
          <w:p w14:paraId="4FE5E505">
            <w:pPr>
              <w:jc w:val="center"/>
              <w:rPr>
                <w:rFonts w:hint="eastAsia" w:ascii="Times New Roman" w:hAnsi="Times New Roman" w:eastAsia="仿宋" w:cs="Times New Roman"/>
                <w:kern w:val="0"/>
                <w:sz w:val="24"/>
                <w:szCs w:val="24"/>
                <w:shd w:val="clear" w:color="auto" w:fill="FFFFFF"/>
                <w:lang w:bidi="ar"/>
              </w:rPr>
            </w:pPr>
            <w:r>
              <w:rPr>
                <w:rFonts w:hint="eastAsia" w:ascii="Times New Roman" w:hAnsi="Times New Roman" w:eastAsia="仿宋" w:cs="Times New Roman"/>
                <w:kern w:val="0"/>
                <w:sz w:val="24"/>
                <w:szCs w:val="24"/>
                <w:shd w:val="clear" w:color="auto" w:fill="FFFFFF"/>
                <w:lang w:bidi="ar"/>
              </w:rPr>
              <w:t>4</w:t>
            </w:r>
          </w:p>
        </w:tc>
        <w:tc>
          <w:tcPr>
            <w:tcW w:w="1926" w:type="pct"/>
            <w:shd w:val="clear" w:color="auto" w:fill="auto"/>
            <w:noWrap/>
            <w:vAlign w:val="center"/>
          </w:tcPr>
          <w:p w14:paraId="453FF30E">
            <w:pPr>
              <w:jc w:val="center"/>
              <w:rPr>
                <w:rFonts w:hint="eastAsia" w:ascii="Times New Roman" w:hAnsi="Times New Roman" w:eastAsia="仿宋" w:cs="Times New Roman"/>
                <w:kern w:val="0"/>
                <w:sz w:val="24"/>
                <w:szCs w:val="24"/>
                <w:shd w:val="clear" w:color="auto" w:fill="FFFFFF"/>
                <w:lang w:val="en-US" w:eastAsia="zh-CN" w:bidi="ar"/>
              </w:rPr>
            </w:pPr>
            <w:r>
              <w:rPr>
                <w:rFonts w:hint="eastAsia" w:ascii="Times New Roman" w:hAnsi="Times New Roman" w:eastAsia="仿宋" w:cs="Times New Roman"/>
                <w:kern w:val="0"/>
                <w:sz w:val="24"/>
                <w:szCs w:val="24"/>
                <w:shd w:val="clear" w:color="auto" w:fill="FFFFFF"/>
                <w:lang w:bidi="ar"/>
              </w:rPr>
              <w:t>游离甲醛含量</w:t>
            </w:r>
          </w:p>
        </w:tc>
        <w:tc>
          <w:tcPr>
            <w:tcW w:w="1326" w:type="pct"/>
            <w:vMerge w:val="continue"/>
            <w:noWrap/>
            <w:vAlign w:val="center"/>
          </w:tcPr>
          <w:p w14:paraId="626B96B9">
            <w:pPr>
              <w:jc w:val="center"/>
              <w:rPr>
                <w:rFonts w:hint="eastAsia" w:ascii="Times New Roman" w:hAnsi="Times New Roman" w:eastAsia="仿宋" w:cs="Times New Roman"/>
                <w:kern w:val="0"/>
                <w:sz w:val="24"/>
                <w:szCs w:val="24"/>
                <w:shd w:val="clear" w:color="auto" w:fill="FFFFFF"/>
                <w:lang w:bidi="ar"/>
              </w:rPr>
            </w:pPr>
          </w:p>
        </w:tc>
        <w:tc>
          <w:tcPr>
            <w:tcW w:w="1372" w:type="pct"/>
            <w:noWrap/>
            <w:vAlign w:val="center"/>
          </w:tcPr>
          <w:p w14:paraId="7109A462">
            <w:pPr>
              <w:jc w:val="center"/>
              <w:rPr>
                <w:rFonts w:hint="eastAsia" w:ascii="Times New Roman" w:hAnsi="Times New Roman" w:eastAsia="仿宋" w:cs="Times New Roman"/>
                <w:kern w:val="0"/>
                <w:sz w:val="24"/>
                <w:szCs w:val="24"/>
                <w:shd w:val="clear" w:color="auto" w:fill="FFFFFF"/>
                <w:lang w:bidi="ar"/>
              </w:rPr>
            </w:pPr>
            <w:r>
              <w:rPr>
                <w:rFonts w:hint="eastAsia" w:ascii="Times New Roman" w:hAnsi="Times New Roman" w:eastAsia="仿宋" w:cs="Times New Roman"/>
                <w:kern w:val="0"/>
                <w:sz w:val="24"/>
                <w:szCs w:val="24"/>
                <w:shd w:val="clear" w:color="auto" w:fill="FFFFFF"/>
                <w:lang w:bidi="ar"/>
              </w:rPr>
              <w:t>GB/T 32606—2016</w:t>
            </w:r>
          </w:p>
          <w:p w14:paraId="11998029">
            <w:pPr>
              <w:jc w:val="center"/>
              <w:rPr>
                <w:rFonts w:hint="eastAsia" w:ascii="Times New Roman" w:hAnsi="Times New Roman" w:eastAsia="仿宋" w:cs="Times New Roman"/>
                <w:kern w:val="0"/>
                <w:sz w:val="24"/>
                <w:szCs w:val="24"/>
                <w:shd w:val="clear" w:color="auto" w:fill="FFFFFF"/>
                <w:lang w:bidi="ar"/>
              </w:rPr>
            </w:pPr>
            <w:r>
              <w:rPr>
                <w:rFonts w:hint="eastAsia" w:ascii="Times New Roman" w:hAnsi="Times New Roman" w:eastAsia="仿宋" w:cs="Times New Roman"/>
                <w:kern w:val="0"/>
                <w:sz w:val="24"/>
                <w:szCs w:val="24"/>
                <w:shd w:val="clear" w:color="auto" w:fill="FFFFFF"/>
                <w:lang w:bidi="ar"/>
              </w:rPr>
              <w:t>GB/T 19941.1—2019</w:t>
            </w:r>
          </w:p>
        </w:tc>
      </w:tr>
      <w:tr w14:paraId="7C5EF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4" w:type="pct"/>
            <w:noWrap/>
            <w:vAlign w:val="center"/>
          </w:tcPr>
          <w:p w14:paraId="18242D07">
            <w:pPr>
              <w:jc w:val="center"/>
              <w:rPr>
                <w:rFonts w:hint="eastAsia" w:ascii="Times New Roman" w:hAnsi="Times New Roman" w:eastAsia="仿宋" w:cs="Times New Roman"/>
                <w:kern w:val="0"/>
                <w:sz w:val="24"/>
                <w:szCs w:val="24"/>
                <w:shd w:val="clear" w:color="auto" w:fill="FFFFFF"/>
                <w:lang w:bidi="ar"/>
              </w:rPr>
            </w:pPr>
            <w:r>
              <w:rPr>
                <w:rFonts w:hint="eastAsia" w:ascii="Times New Roman" w:hAnsi="Times New Roman" w:eastAsia="仿宋" w:cs="Times New Roman"/>
                <w:kern w:val="0"/>
                <w:sz w:val="24"/>
                <w:szCs w:val="24"/>
                <w:shd w:val="clear" w:color="auto" w:fill="FFFFFF"/>
                <w:lang w:bidi="ar"/>
              </w:rPr>
              <w:t>5</w:t>
            </w:r>
          </w:p>
        </w:tc>
        <w:tc>
          <w:tcPr>
            <w:tcW w:w="1926" w:type="pct"/>
            <w:shd w:val="clear" w:color="auto" w:fill="auto"/>
            <w:noWrap/>
            <w:vAlign w:val="center"/>
          </w:tcPr>
          <w:p w14:paraId="1E2F3271">
            <w:pPr>
              <w:jc w:val="center"/>
              <w:rPr>
                <w:rFonts w:hint="eastAsia" w:ascii="Times New Roman" w:hAnsi="Times New Roman" w:eastAsia="仿宋" w:cs="Times New Roman"/>
                <w:kern w:val="0"/>
                <w:sz w:val="24"/>
                <w:szCs w:val="24"/>
                <w:shd w:val="clear" w:color="auto" w:fill="FFFFFF"/>
                <w:lang w:val="en-US" w:eastAsia="zh-CN" w:bidi="ar"/>
              </w:rPr>
            </w:pPr>
            <w:r>
              <w:rPr>
                <w:rFonts w:hint="eastAsia" w:ascii="Times New Roman" w:hAnsi="Times New Roman" w:eastAsia="仿宋" w:cs="Times New Roman"/>
                <w:kern w:val="0"/>
                <w:sz w:val="24"/>
                <w:szCs w:val="24"/>
                <w:shd w:val="clear" w:color="auto" w:fill="FFFFFF"/>
                <w:lang w:bidi="ar"/>
              </w:rPr>
              <w:t>可分解有害芳香胺染料</w:t>
            </w:r>
          </w:p>
        </w:tc>
        <w:tc>
          <w:tcPr>
            <w:tcW w:w="1326" w:type="pct"/>
            <w:vMerge w:val="continue"/>
            <w:noWrap/>
            <w:vAlign w:val="center"/>
          </w:tcPr>
          <w:p w14:paraId="2A9889FE">
            <w:pPr>
              <w:jc w:val="center"/>
              <w:rPr>
                <w:rFonts w:hint="eastAsia" w:ascii="Times New Roman" w:hAnsi="Times New Roman" w:eastAsia="仿宋" w:cs="Times New Roman"/>
                <w:kern w:val="0"/>
                <w:sz w:val="24"/>
                <w:szCs w:val="24"/>
                <w:shd w:val="clear" w:color="auto" w:fill="FFFFFF"/>
                <w:lang w:bidi="ar"/>
              </w:rPr>
            </w:pPr>
          </w:p>
        </w:tc>
        <w:tc>
          <w:tcPr>
            <w:tcW w:w="1372" w:type="pct"/>
            <w:noWrap/>
            <w:vAlign w:val="center"/>
          </w:tcPr>
          <w:p w14:paraId="04A1C84F">
            <w:pPr>
              <w:jc w:val="center"/>
              <w:rPr>
                <w:rFonts w:hint="eastAsia" w:ascii="Times New Roman" w:hAnsi="Times New Roman" w:eastAsia="仿宋" w:cs="Times New Roman"/>
                <w:kern w:val="0"/>
                <w:sz w:val="24"/>
                <w:szCs w:val="24"/>
                <w:shd w:val="clear" w:color="auto" w:fill="FFFFFF"/>
                <w:lang w:bidi="ar"/>
              </w:rPr>
            </w:pPr>
            <w:r>
              <w:rPr>
                <w:rFonts w:hint="eastAsia" w:ascii="Times New Roman" w:hAnsi="Times New Roman" w:eastAsia="仿宋" w:cs="Times New Roman"/>
                <w:kern w:val="0"/>
                <w:sz w:val="24"/>
                <w:szCs w:val="24"/>
                <w:shd w:val="clear" w:color="auto" w:fill="FFFFFF"/>
                <w:lang w:bidi="ar"/>
              </w:rPr>
              <w:t>GB/T 17592—2011</w:t>
            </w:r>
          </w:p>
          <w:p w14:paraId="55C513F5">
            <w:pPr>
              <w:jc w:val="center"/>
              <w:rPr>
                <w:rFonts w:hint="eastAsia" w:ascii="Times New Roman" w:hAnsi="Times New Roman" w:eastAsia="仿宋" w:cs="Times New Roman"/>
                <w:kern w:val="0"/>
                <w:sz w:val="24"/>
                <w:szCs w:val="24"/>
                <w:shd w:val="clear" w:color="auto" w:fill="FFFFFF"/>
                <w:lang w:bidi="ar"/>
              </w:rPr>
            </w:pPr>
            <w:r>
              <w:rPr>
                <w:rFonts w:hint="eastAsia" w:ascii="Times New Roman" w:hAnsi="Times New Roman" w:eastAsia="仿宋" w:cs="Times New Roman"/>
                <w:kern w:val="0"/>
                <w:sz w:val="24"/>
                <w:szCs w:val="24"/>
                <w:shd w:val="clear" w:color="auto" w:fill="FFFFFF"/>
                <w:lang w:bidi="ar"/>
              </w:rPr>
              <w:t>GB/T 23344—2009</w:t>
            </w:r>
          </w:p>
          <w:p w14:paraId="13119768">
            <w:pPr>
              <w:jc w:val="center"/>
              <w:rPr>
                <w:rFonts w:hint="eastAsia" w:ascii="Times New Roman" w:hAnsi="Times New Roman" w:eastAsia="仿宋" w:cs="Times New Roman"/>
                <w:kern w:val="0"/>
                <w:sz w:val="24"/>
                <w:szCs w:val="24"/>
                <w:shd w:val="clear" w:color="auto" w:fill="FFFFFF"/>
                <w:lang w:bidi="ar"/>
              </w:rPr>
            </w:pPr>
            <w:r>
              <w:rPr>
                <w:rFonts w:hint="eastAsia" w:ascii="Times New Roman" w:hAnsi="Times New Roman" w:eastAsia="仿宋" w:cs="Times New Roman"/>
                <w:kern w:val="0"/>
                <w:sz w:val="24"/>
                <w:szCs w:val="24"/>
                <w:shd w:val="clear" w:color="auto" w:fill="FFFFFF"/>
                <w:lang w:bidi="ar"/>
              </w:rPr>
              <w:t>GB/T 19942—2019</w:t>
            </w:r>
          </w:p>
        </w:tc>
      </w:tr>
      <w:tr w14:paraId="43A87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4" w:type="pct"/>
            <w:noWrap/>
            <w:vAlign w:val="center"/>
          </w:tcPr>
          <w:p w14:paraId="7BC50A3A">
            <w:pPr>
              <w:jc w:val="center"/>
              <w:rPr>
                <w:rFonts w:hint="eastAsia" w:ascii="Times New Roman" w:hAnsi="Times New Roman" w:eastAsia="仿宋" w:cs="Times New Roman"/>
                <w:kern w:val="0"/>
                <w:sz w:val="24"/>
                <w:szCs w:val="24"/>
                <w:shd w:val="clear" w:color="auto" w:fill="FFFFFF"/>
                <w:lang w:bidi="ar"/>
              </w:rPr>
            </w:pPr>
            <w:r>
              <w:rPr>
                <w:rFonts w:hint="eastAsia" w:ascii="Times New Roman" w:hAnsi="Times New Roman" w:eastAsia="仿宋" w:cs="Times New Roman"/>
                <w:kern w:val="0"/>
                <w:sz w:val="24"/>
                <w:szCs w:val="24"/>
                <w:shd w:val="clear" w:color="auto" w:fill="FFFFFF"/>
                <w:lang w:bidi="ar"/>
              </w:rPr>
              <w:t>6</w:t>
            </w:r>
          </w:p>
        </w:tc>
        <w:tc>
          <w:tcPr>
            <w:tcW w:w="1926" w:type="pct"/>
            <w:shd w:val="clear" w:color="auto" w:fill="auto"/>
            <w:noWrap/>
            <w:vAlign w:val="center"/>
          </w:tcPr>
          <w:p w14:paraId="0A129355">
            <w:pPr>
              <w:jc w:val="center"/>
              <w:rPr>
                <w:rFonts w:hint="eastAsia" w:ascii="Times New Roman" w:hAnsi="Times New Roman" w:eastAsia="仿宋" w:cs="Times New Roman"/>
                <w:kern w:val="0"/>
                <w:sz w:val="24"/>
                <w:szCs w:val="24"/>
                <w:shd w:val="clear" w:color="auto" w:fill="FFFFFF"/>
                <w:lang w:bidi="ar"/>
              </w:rPr>
            </w:pPr>
            <w:r>
              <w:rPr>
                <w:rFonts w:hint="eastAsia" w:ascii="Times New Roman" w:hAnsi="Times New Roman" w:eastAsia="仿宋" w:cs="Times New Roman"/>
                <w:kern w:val="0"/>
                <w:sz w:val="24"/>
                <w:szCs w:val="24"/>
                <w:shd w:val="clear" w:color="auto" w:fill="FFFFFF"/>
                <w:lang w:bidi="ar"/>
              </w:rPr>
              <w:t>可触及的塑料件中邻苯二甲酸酯</w:t>
            </w:r>
          </w:p>
          <w:p w14:paraId="1FD1999C">
            <w:pPr>
              <w:jc w:val="center"/>
              <w:rPr>
                <w:rFonts w:hint="eastAsia" w:ascii="Times New Roman" w:hAnsi="Times New Roman" w:eastAsia="仿宋" w:cs="Times New Roman"/>
                <w:kern w:val="0"/>
                <w:sz w:val="24"/>
                <w:szCs w:val="24"/>
                <w:shd w:val="clear" w:color="auto" w:fill="FFFFFF"/>
                <w:lang w:val="en-US" w:eastAsia="zh-CN" w:bidi="ar"/>
              </w:rPr>
            </w:pPr>
            <w:r>
              <w:rPr>
                <w:rFonts w:hint="eastAsia" w:ascii="Times New Roman" w:hAnsi="Times New Roman" w:eastAsia="仿宋" w:cs="Times New Roman"/>
                <w:kern w:val="0"/>
                <w:sz w:val="24"/>
                <w:szCs w:val="24"/>
                <w:shd w:val="clear" w:color="auto" w:fill="FFFFFF"/>
                <w:lang w:bidi="ar"/>
              </w:rPr>
              <w:t>增塑剂的限量</w:t>
            </w:r>
          </w:p>
        </w:tc>
        <w:tc>
          <w:tcPr>
            <w:tcW w:w="1326" w:type="pct"/>
            <w:vMerge w:val="continue"/>
            <w:noWrap/>
            <w:vAlign w:val="center"/>
          </w:tcPr>
          <w:p w14:paraId="1EC3BF68">
            <w:pPr>
              <w:jc w:val="center"/>
              <w:rPr>
                <w:rFonts w:hint="eastAsia" w:ascii="Times New Roman" w:hAnsi="Times New Roman" w:eastAsia="仿宋" w:cs="Times New Roman"/>
                <w:kern w:val="0"/>
                <w:sz w:val="24"/>
                <w:szCs w:val="24"/>
                <w:shd w:val="clear" w:color="auto" w:fill="FFFFFF"/>
                <w:lang w:bidi="ar"/>
              </w:rPr>
            </w:pPr>
          </w:p>
        </w:tc>
        <w:tc>
          <w:tcPr>
            <w:tcW w:w="1372" w:type="pct"/>
            <w:noWrap/>
            <w:vAlign w:val="center"/>
          </w:tcPr>
          <w:p w14:paraId="0FB3B7E7">
            <w:pPr>
              <w:jc w:val="center"/>
              <w:rPr>
                <w:rFonts w:hint="eastAsia" w:ascii="Times New Roman" w:hAnsi="Times New Roman" w:eastAsia="仿宋" w:cs="Times New Roman"/>
                <w:kern w:val="0"/>
                <w:sz w:val="24"/>
                <w:szCs w:val="24"/>
                <w:shd w:val="clear" w:color="auto" w:fill="FFFFFF"/>
                <w:lang w:bidi="ar"/>
              </w:rPr>
            </w:pPr>
            <w:r>
              <w:rPr>
                <w:rFonts w:hint="eastAsia" w:ascii="Times New Roman" w:hAnsi="Times New Roman" w:eastAsia="仿宋" w:cs="Times New Roman"/>
                <w:kern w:val="0"/>
                <w:sz w:val="24"/>
                <w:szCs w:val="24"/>
                <w:shd w:val="clear" w:color="auto" w:fill="FFFFFF"/>
                <w:lang w:bidi="ar"/>
              </w:rPr>
              <w:t>GB/T 22048—2022</w:t>
            </w:r>
          </w:p>
        </w:tc>
      </w:tr>
    </w:tbl>
    <w:p w14:paraId="5A1FC71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检验方法包括相关产品标准及试验方法标准。</w:t>
      </w:r>
    </w:p>
    <w:p w14:paraId="4DBCB5B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凡是注日期的文件，其随后所有的修改单（不包括勘误的内容）或修订版不适用于本细则。凡是不注日期的文件，其最新版本适用于本细则。</w:t>
      </w:r>
    </w:p>
    <w:p w14:paraId="14B9682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黑体_GBK" w:cs="Times New Roman"/>
          <w:kern w:val="0"/>
          <w:sz w:val="32"/>
          <w:szCs w:val="32"/>
          <w:shd w:val="clear" w:color="auto" w:fill="FFFFFF"/>
          <w:lang w:val="en-US" w:eastAsia="zh-CN" w:bidi="ar"/>
        </w:rPr>
      </w:pPr>
      <w:r>
        <w:rPr>
          <w:rFonts w:hint="default" w:ascii="Times New Roman" w:hAnsi="Times New Roman" w:eastAsia="方正黑体_GBK" w:cs="Times New Roman"/>
          <w:kern w:val="0"/>
          <w:sz w:val="32"/>
          <w:szCs w:val="32"/>
          <w:shd w:val="clear" w:color="auto" w:fill="FFFFFF"/>
          <w:lang w:val="en-US" w:eastAsia="zh-CN" w:bidi="ar"/>
        </w:rPr>
        <w:t>4.判定规则</w:t>
      </w:r>
    </w:p>
    <w:p w14:paraId="0334F6E4">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方正仿宋_GBK" w:cs="Times New Roman"/>
          <w:b/>
          <w:bCs/>
          <w:sz w:val="32"/>
          <w:szCs w:val="32"/>
          <w:lang w:val="en-US" w:eastAsia="zh-CN"/>
        </w:rPr>
      </w:pPr>
      <w:r>
        <w:rPr>
          <w:rFonts w:hint="default" w:ascii="Times New Roman" w:hAnsi="Times New Roman" w:eastAsia="方正仿宋_GBK" w:cs="Times New Roman"/>
          <w:b/>
          <w:bCs/>
          <w:sz w:val="32"/>
          <w:szCs w:val="32"/>
          <w:lang w:val="en-US" w:eastAsia="zh-CN"/>
        </w:rPr>
        <w:t>4.1依据标准</w:t>
      </w:r>
    </w:p>
    <w:p w14:paraId="6285565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GB 21027-2020</w:t>
      </w:r>
      <w:r>
        <w:rPr>
          <w:rFonts w:hint="eastAsia" w:eastAsia="方正仿宋_GBK" w:cs="Times New Roman"/>
          <w:sz w:val="32"/>
          <w:szCs w:val="32"/>
          <w:lang w:val="en-US" w:eastAsia="zh-CN"/>
        </w:rPr>
        <w:t xml:space="preserve"> </w:t>
      </w:r>
      <w:r>
        <w:rPr>
          <w:rFonts w:hint="eastAsia" w:ascii="Times New Roman" w:hAnsi="Times New Roman" w:eastAsia="方正仿宋_GBK" w:cs="Times New Roman"/>
          <w:sz w:val="32"/>
          <w:szCs w:val="32"/>
          <w:lang w:val="en-US" w:eastAsia="zh-CN"/>
        </w:rPr>
        <w:t>《学生用品的安全通用要求》</w:t>
      </w:r>
    </w:p>
    <w:p w14:paraId="77FBA6D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QB/T 1333-2018 《背提包》</w:t>
      </w:r>
    </w:p>
    <w:p w14:paraId="18AF591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现行有效的企业标准、团体标准、地方标准及产品明示质量要求</w:t>
      </w:r>
    </w:p>
    <w:p w14:paraId="7A52C597">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方正仿宋_GBK" w:cs="Times New Roman"/>
          <w:b/>
          <w:bCs/>
          <w:sz w:val="32"/>
          <w:szCs w:val="32"/>
          <w:lang w:val="en-US" w:eastAsia="zh-CN"/>
        </w:rPr>
      </w:pPr>
      <w:r>
        <w:rPr>
          <w:rFonts w:hint="default" w:ascii="Times New Roman" w:hAnsi="Times New Roman" w:eastAsia="方正仿宋_GBK" w:cs="Times New Roman"/>
          <w:b/>
          <w:bCs/>
          <w:sz w:val="32"/>
          <w:szCs w:val="32"/>
          <w:lang w:val="en-US" w:eastAsia="zh-CN"/>
        </w:rPr>
        <w:t>4.2判定原则</w:t>
      </w:r>
    </w:p>
    <w:p w14:paraId="367711E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经检验，检验项目全部合格，判定为被抽查产品所检项目未发现不合格；检验项目中任一项或一项以上不合格，判定为被抽查产品不合格。</w:t>
      </w:r>
    </w:p>
    <w:p w14:paraId="3814B73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若被检产品明示的质量要求高于本细则中检验项目依据的标准要求时，应按被检产品明示的质量要求判定。</w:t>
      </w:r>
    </w:p>
    <w:p w14:paraId="6168EE8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若被检产品明示的质量要求低于本细则中检验项目依据的强制性标准要求时，应按照强制性标准要求判定。</w:t>
      </w:r>
    </w:p>
    <w:p w14:paraId="33834D1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若被检产品明示的质量要求低于或包含细则中检验项目依据的推荐性标准要求时，应以被检产品明示的质量要求判定，但应在检验报告备注中进行说明。</w:t>
      </w:r>
    </w:p>
    <w:p w14:paraId="6759534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若被检产品明示的质量要求缺少本细则中检验项目依据的强制性标准要求时，应按照强制性标准要求判定。</w:t>
      </w:r>
    </w:p>
    <w:p w14:paraId="2B1D003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若被检产品明示的质量要求缺少本细则中检验项目依据的推荐性标准要求时，该项目不参与判定，但应在检验报告备注中进行说明。</w:t>
      </w:r>
    </w:p>
    <w:p w14:paraId="02BEE4E2">
      <w:pPr>
        <w:spacing w:line="580" w:lineRule="exact"/>
        <w:ind w:firstLine="643" w:firstLineChars="200"/>
        <w:rPr>
          <w:rFonts w:hint="default" w:ascii="Times New Roman" w:hAnsi="Times New Roman" w:eastAsia="黑体" w:cs="Times New Roman"/>
          <w:b/>
          <w:bCs/>
          <w:kern w:val="0"/>
          <w:sz w:val="32"/>
          <w:szCs w:val="32"/>
          <w:shd w:val="clear" w:color="auto" w:fill="FFFFFF"/>
          <w:lang w:val="en-US" w:eastAsia="zh-CN" w:bidi="ar"/>
        </w:rPr>
      </w:pPr>
      <w:r>
        <w:rPr>
          <w:rFonts w:hint="default" w:ascii="Times New Roman" w:hAnsi="Times New Roman" w:eastAsia="黑体" w:cs="Times New Roman"/>
          <w:b/>
          <w:bCs/>
          <w:kern w:val="0"/>
          <w:sz w:val="32"/>
          <w:szCs w:val="32"/>
          <w:shd w:val="clear" w:color="auto" w:fill="FFFFFF"/>
          <w:lang w:val="en-US" w:eastAsia="zh-CN" w:bidi="ar"/>
        </w:rPr>
        <w:t>5.异议处理</w:t>
      </w:r>
    </w:p>
    <w:p w14:paraId="0053F9A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5.1对监督抽查程序有异议的，由任务下达部门核查相关证据后维持或者撤销原检验结果。</w:t>
      </w:r>
    </w:p>
    <w:p w14:paraId="3979BC6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5D26AA7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5.3对样品信息有异议的，任务下达部门核查样品确认情况和生产企业提交证明材料后，维持或者撤销原检验结果。</w:t>
      </w:r>
    </w:p>
    <w:p w14:paraId="2832DFBF">
      <w:pPr>
        <w:spacing w:line="560" w:lineRule="exact"/>
        <w:jc w:val="left"/>
        <w:rPr>
          <w:rFonts w:hint="default" w:ascii="Times New Roman" w:hAnsi="Times New Roman" w:eastAsia="方正仿宋_GB2312" w:cs="Times New Roman"/>
          <w:kern w:val="0"/>
          <w:sz w:val="24"/>
          <w:shd w:val="clear" w:color="auto" w:fill="FFFFFF"/>
        </w:rPr>
      </w:pPr>
      <w:bookmarkStart w:id="0" w:name="_GoBack"/>
      <w:bookmarkEnd w:id="0"/>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2925C20-6524-4C67-89BB-314565C87C8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EF2A5A1E-9329-4642-8646-9AAD431EE1A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embedRegular r:id="rId3" w:fontKey="{7BB4BFFC-4101-487F-A138-3173A29D9EA5}"/>
  </w:font>
  <w:font w:name="Verdana">
    <w:panose1 w:val="020B0604030504040204"/>
    <w:charset w:val="00"/>
    <w:family w:val="swiss"/>
    <w:pitch w:val="default"/>
    <w:sig w:usb0="A00006FF" w:usb1="4000205B" w:usb2="00000010" w:usb3="00000000" w:csb0="2000019F" w:csb1="00000000"/>
  </w:font>
  <w:font w:name="方正小标宋_GBK">
    <w:panose1 w:val="02000000000000000000"/>
    <w:charset w:val="86"/>
    <w:family w:val="auto"/>
    <w:pitch w:val="default"/>
    <w:sig w:usb0="A00002BF" w:usb1="38CF7CFA" w:usb2="00082016" w:usb3="00000000" w:csb0="00040001" w:csb1="00000000"/>
    <w:embedRegular r:id="rId4" w:fontKey="{D64D159E-B920-4061-B761-2801DA32D807}"/>
  </w:font>
  <w:font w:name="方正黑体_GBK">
    <w:panose1 w:val="02000000000000000000"/>
    <w:charset w:val="86"/>
    <w:family w:val="script"/>
    <w:pitch w:val="default"/>
    <w:sig w:usb0="A00002BF" w:usb1="38CF7CFA" w:usb2="00082016" w:usb3="00000000" w:csb0="00040001" w:csb1="00000000"/>
    <w:embedRegular r:id="rId5" w:fontKey="{B9401DDA-68E8-4792-98F2-F2E6004F7E18}"/>
  </w:font>
  <w:font w:name="方正仿宋_GBK">
    <w:panose1 w:val="02000000000000000000"/>
    <w:charset w:val="86"/>
    <w:family w:val="script"/>
    <w:pitch w:val="default"/>
    <w:sig w:usb0="A00002BF" w:usb1="38CF7CFA" w:usb2="00082016" w:usb3="00000000" w:csb0="00040001" w:csb1="00000000"/>
    <w:embedRegular r:id="rId6" w:fontKey="{95585800-5A33-4A05-9464-485DB856728E}"/>
  </w:font>
  <w:font w:name="方正仿宋_GB2312">
    <w:panose1 w:val="02000000000000000000"/>
    <w:charset w:val="86"/>
    <w:family w:val="auto"/>
    <w:pitch w:val="default"/>
    <w:sig w:usb0="A00002BF" w:usb1="184F6CFA" w:usb2="00000012" w:usb3="00000000" w:csb0="00040001" w:csb1="00000000"/>
    <w:embedRegular r:id="rId7" w:fontKey="{B3B7CD15-521B-4C90-9C11-052050B4F5F6}"/>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WFjOTVhMjMyYzBhZjk3NDBjMWI1ZjdjZWNkNjQ0ZGUifQ=="/>
  </w:docVars>
  <w:rsids>
    <w:rsidRoot w:val="00994F91"/>
    <w:rsid w:val="000038C2"/>
    <w:rsid w:val="00013EFC"/>
    <w:rsid w:val="00033E88"/>
    <w:rsid w:val="00071A08"/>
    <w:rsid w:val="00077B56"/>
    <w:rsid w:val="000A502C"/>
    <w:rsid w:val="000B3F33"/>
    <w:rsid w:val="000B687E"/>
    <w:rsid w:val="000B6A27"/>
    <w:rsid w:val="000C77B9"/>
    <w:rsid w:val="001442AE"/>
    <w:rsid w:val="00194FC9"/>
    <w:rsid w:val="001B201B"/>
    <w:rsid w:val="001D1269"/>
    <w:rsid w:val="001D1D39"/>
    <w:rsid w:val="0038442A"/>
    <w:rsid w:val="00431B9D"/>
    <w:rsid w:val="004409A8"/>
    <w:rsid w:val="00446234"/>
    <w:rsid w:val="00454353"/>
    <w:rsid w:val="0047053B"/>
    <w:rsid w:val="004A75C5"/>
    <w:rsid w:val="004B0819"/>
    <w:rsid w:val="004B1F1D"/>
    <w:rsid w:val="0050514E"/>
    <w:rsid w:val="005D2F01"/>
    <w:rsid w:val="005D5C74"/>
    <w:rsid w:val="005D75BF"/>
    <w:rsid w:val="006A0BED"/>
    <w:rsid w:val="006A1F3D"/>
    <w:rsid w:val="006B75A3"/>
    <w:rsid w:val="006C6F80"/>
    <w:rsid w:val="006E2E5C"/>
    <w:rsid w:val="006F582F"/>
    <w:rsid w:val="00793664"/>
    <w:rsid w:val="007E4F6F"/>
    <w:rsid w:val="0080591C"/>
    <w:rsid w:val="008405B3"/>
    <w:rsid w:val="00890A1D"/>
    <w:rsid w:val="008A5AF6"/>
    <w:rsid w:val="008B570C"/>
    <w:rsid w:val="008C4A59"/>
    <w:rsid w:val="008D46F5"/>
    <w:rsid w:val="009237BD"/>
    <w:rsid w:val="00976657"/>
    <w:rsid w:val="00994F91"/>
    <w:rsid w:val="00A1750A"/>
    <w:rsid w:val="00A9071B"/>
    <w:rsid w:val="00A93388"/>
    <w:rsid w:val="00AF02BA"/>
    <w:rsid w:val="00B00D67"/>
    <w:rsid w:val="00B34A0B"/>
    <w:rsid w:val="00B41625"/>
    <w:rsid w:val="00BA60FA"/>
    <w:rsid w:val="00BE3286"/>
    <w:rsid w:val="00C576EA"/>
    <w:rsid w:val="00C86338"/>
    <w:rsid w:val="00CF221F"/>
    <w:rsid w:val="00D15DDA"/>
    <w:rsid w:val="00D551E9"/>
    <w:rsid w:val="00D619E3"/>
    <w:rsid w:val="00D637C9"/>
    <w:rsid w:val="00D742C2"/>
    <w:rsid w:val="00DA7853"/>
    <w:rsid w:val="00DD6FBD"/>
    <w:rsid w:val="00E20367"/>
    <w:rsid w:val="00E80721"/>
    <w:rsid w:val="00EA5305"/>
    <w:rsid w:val="00EA5F1D"/>
    <w:rsid w:val="00EB0070"/>
    <w:rsid w:val="00EC26A6"/>
    <w:rsid w:val="00EC6CEB"/>
    <w:rsid w:val="00ED1EA0"/>
    <w:rsid w:val="00F359D0"/>
    <w:rsid w:val="00F37292"/>
    <w:rsid w:val="00F42315"/>
    <w:rsid w:val="00FE5ABE"/>
    <w:rsid w:val="0134199A"/>
    <w:rsid w:val="016739CA"/>
    <w:rsid w:val="01A06AD2"/>
    <w:rsid w:val="01AF0582"/>
    <w:rsid w:val="026E4B13"/>
    <w:rsid w:val="030602B4"/>
    <w:rsid w:val="039F0178"/>
    <w:rsid w:val="044174B0"/>
    <w:rsid w:val="048A437E"/>
    <w:rsid w:val="04A9726A"/>
    <w:rsid w:val="06A904DB"/>
    <w:rsid w:val="07BE62CF"/>
    <w:rsid w:val="0897565A"/>
    <w:rsid w:val="089E104F"/>
    <w:rsid w:val="09944AA5"/>
    <w:rsid w:val="0BC679A8"/>
    <w:rsid w:val="0C757F4A"/>
    <w:rsid w:val="0CF342D6"/>
    <w:rsid w:val="0E4D215A"/>
    <w:rsid w:val="0F015D81"/>
    <w:rsid w:val="10793DCA"/>
    <w:rsid w:val="116D6FFD"/>
    <w:rsid w:val="12126251"/>
    <w:rsid w:val="13124B5A"/>
    <w:rsid w:val="16A236B1"/>
    <w:rsid w:val="16E161A2"/>
    <w:rsid w:val="177225EB"/>
    <w:rsid w:val="17A36A55"/>
    <w:rsid w:val="17A84B2D"/>
    <w:rsid w:val="17F43DDB"/>
    <w:rsid w:val="19780A49"/>
    <w:rsid w:val="1A410844"/>
    <w:rsid w:val="1AF472FA"/>
    <w:rsid w:val="1B817529"/>
    <w:rsid w:val="1B8D30AE"/>
    <w:rsid w:val="1BCE7BDD"/>
    <w:rsid w:val="1C105CDC"/>
    <w:rsid w:val="1C1A240C"/>
    <w:rsid w:val="1C4B112E"/>
    <w:rsid w:val="1C537094"/>
    <w:rsid w:val="1C8642A3"/>
    <w:rsid w:val="1EB548C8"/>
    <w:rsid w:val="1F140570"/>
    <w:rsid w:val="1F73440D"/>
    <w:rsid w:val="20886FD7"/>
    <w:rsid w:val="209A6A47"/>
    <w:rsid w:val="21DA11A0"/>
    <w:rsid w:val="234A7ACC"/>
    <w:rsid w:val="23BF7C4A"/>
    <w:rsid w:val="2458109A"/>
    <w:rsid w:val="24A9129F"/>
    <w:rsid w:val="259C7230"/>
    <w:rsid w:val="26742B74"/>
    <w:rsid w:val="26A512AE"/>
    <w:rsid w:val="27E234BC"/>
    <w:rsid w:val="27F32897"/>
    <w:rsid w:val="2889265C"/>
    <w:rsid w:val="28A36D34"/>
    <w:rsid w:val="2A0F7505"/>
    <w:rsid w:val="2A88681B"/>
    <w:rsid w:val="2AA408BD"/>
    <w:rsid w:val="2AB17146"/>
    <w:rsid w:val="2AC362CC"/>
    <w:rsid w:val="2B6F3C13"/>
    <w:rsid w:val="2BD73059"/>
    <w:rsid w:val="2D996271"/>
    <w:rsid w:val="2E461188"/>
    <w:rsid w:val="2E63042E"/>
    <w:rsid w:val="2F11754B"/>
    <w:rsid w:val="2F154600"/>
    <w:rsid w:val="2FA37E46"/>
    <w:rsid w:val="3017552A"/>
    <w:rsid w:val="30E72516"/>
    <w:rsid w:val="30FC3825"/>
    <w:rsid w:val="31D70928"/>
    <w:rsid w:val="321E3342"/>
    <w:rsid w:val="32427031"/>
    <w:rsid w:val="335C78B2"/>
    <w:rsid w:val="33FE09AE"/>
    <w:rsid w:val="35626566"/>
    <w:rsid w:val="35E1788A"/>
    <w:rsid w:val="362F7550"/>
    <w:rsid w:val="367466E7"/>
    <w:rsid w:val="37192F89"/>
    <w:rsid w:val="372E3847"/>
    <w:rsid w:val="3735193C"/>
    <w:rsid w:val="38231C92"/>
    <w:rsid w:val="393B1A65"/>
    <w:rsid w:val="3A321772"/>
    <w:rsid w:val="3A9643BE"/>
    <w:rsid w:val="3BA01686"/>
    <w:rsid w:val="3C322DFD"/>
    <w:rsid w:val="3C3A3948"/>
    <w:rsid w:val="3D474095"/>
    <w:rsid w:val="3DC23707"/>
    <w:rsid w:val="3DF321C2"/>
    <w:rsid w:val="3E52053E"/>
    <w:rsid w:val="3EB84598"/>
    <w:rsid w:val="3F305A37"/>
    <w:rsid w:val="3F8B43ED"/>
    <w:rsid w:val="3FD219D9"/>
    <w:rsid w:val="40BB64D6"/>
    <w:rsid w:val="41452F52"/>
    <w:rsid w:val="41A84412"/>
    <w:rsid w:val="42854175"/>
    <w:rsid w:val="42F71A6E"/>
    <w:rsid w:val="43121999"/>
    <w:rsid w:val="43F7456D"/>
    <w:rsid w:val="451D5306"/>
    <w:rsid w:val="45535D1D"/>
    <w:rsid w:val="45B24F9B"/>
    <w:rsid w:val="45B31742"/>
    <w:rsid w:val="45B74C8E"/>
    <w:rsid w:val="466515CD"/>
    <w:rsid w:val="46854755"/>
    <w:rsid w:val="468B0303"/>
    <w:rsid w:val="473A3D84"/>
    <w:rsid w:val="490278DA"/>
    <w:rsid w:val="492202AA"/>
    <w:rsid w:val="494B0AC3"/>
    <w:rsid w:val="49BB19A5"/>
    <w:rsid w:val="49C96E25"/>
    <w:rsid w:val="4AC3278A"/>
    <w:rsid w:val="4AFB7D2F"/>
    <w:rsid w:val="4BF058F8"/>
    <w:rsid w:val="4C781607"/>
    <w:rsid w:val="4CDE78AB"/>
    <w:rsid w:val="4D00188D"/>
    <w:rsid w:val="4D9C1010"/>
    <w:rsid w:val="4E1A11FD"/>
    <w:rsid w:val="4E7B16B0"/>
    <w:rsid w:val="4ECF517F"/>
    <w:rsid w:val="502B3294"/>
    <w:rsid w:val="50D14740"/>
    <w:rsid w:val="51DD06CC"/>
    <w:rsid w:val="52D059FF"/>
    <w:rsid w:val="52E67342"/>
    <w:rsid w:val="542C683B"/>
    <w:rsid w:val="55066B32"/>
    <w:rsid w:val="551E642D"/>
    <w:rsid w:val="55BC03EF"/>
    <w:rsid w:val="56F3690F"/>
    <w:rsid w:val="572D0584"/>
    <w:rsid w:val="575B177C"/>
    <w:rsid w:val="57F10A13"/>
    <w:rsid w:val="58217ABF"/>
    <w:rsid w:val="58C94C70"/>
    <w:rsid w:val="59BE4223"/>
    <w:rsid w:val="5A5548CA"/>
    <w:rsid w:val="5AA66D40"/>
    <w:rsid w:val="5B342F29"/>
    <w:rsid w:val="5C4B78E9"/>
    <w:rsid w:val="5CD01026"/>
    <w:rsid w:val="5D3B171D"/>
    <w:rsid w:val="5D6427D2"/>
    <w:rsid w:val="5DAC425E"/>
    <w:rsid w:val="5E2430D9"/>
    <w:rsid w:val="5E9154FC"/>
    <w:rsid w:val="5F6F50AD"/>
    <w:rsid w:val="61033DC5"/>
    <w:rsid w:val="611A0FF5"/>
    <w:rsid w:val="63DE38DA"/>
    <w:rsid w:val="652F5297"/>
    <w:rsid w:val="66315A3D"/>
    <w:rsid w:val="66722F7A"/>
    <w:rsid w:val="684A0F2C"/>
    <w:rsid w:val="686059AA"/>
    <w:rsid w:val="68F869F4"/>
    <w:rsid w:val="6A314872"/>
    <w:rsid w:val="6A352777"/>
    <w:rsid w:val="6B0417AB"/>
    <w:rsid w:val="6C3F304D"/>
    <w:rsid w:val="6C9C3BE8"/>
    <w:rsid w:val="6ED944A7"/>
    <w:rsid w:val="6F034B74"/>
    <w:rsid w:val="706450FD"/>
    <w:rsid w:val="71C160B6"/>
    <w:rsid w:val="71C55C8C"/>
    <w:rsid w:val="71EE78D7"/>
    <w:rsid w:val="723B138E"/>
    <w:rsid w:val="728B60D7"/>
    <w:rsid w:val="72E76320"/>
    <w:rsid w:val="74172D47"/>
    <w:rsid w:val="74A96E56"/>
    <w:rsid w:val="74C234FA"/>
    <w:rsid w:val="755507AC"/>
    <w:rsid w:val="75AB6FAD"/>
    <w:rsid w:val="75C1098F"/>
    <w:rsid w:val="76B073BA"/>
    <w:rsid w:val="76C456D3"/>
    <w:rsid w:val="770B0696"/>
    <w:rsid w:val="7810498A"/>
    <w:rsid w:val="788812CD"/>
    <w:rsid w:val="790928C0"/>
    <w:rsid w:val="795B7B49"/>
    <w:rsid w:val="7B9277B2"/>
    <w:rsid w:val="7BAF3D7F"/>
    <w:rsid w:val="7D4A79AC"/>
    <w:rsid w:val="7DDF7682"/>
    <w:rsid w:val="7DF16D19"/>
    <w:rsid w:val="7E535EEF"/>
    <w:rsid w:val="7E652DCA"/>
    <w:rsid w:val="7E6C263E"/>
    <w:rsid w:val="7ECF262B"/>
    <w:rsid w:val="7F104458"/>
    <w:rsid w:val="7F2D42CE"/>
    <w:rsid w:val="7F9F7982"/>
    <w:rsid w:val="7FD0280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9">
    <w:name w:val="Default Paragraph Font"/>
    <w:autoRedefine/>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annotation text"/>
    <w:basedOn w:val="1"/>
    <w:autoRedefine/>
    <w:semiHidden/>
    <w:unhideWhenUsed/>
    <w:qFormat/>
    <w:uiPriority w:val="99"/>
    <w:pPr>
      <w:jc w:val="left"/>
    </w:pPr>
  </w:style>
  <w:style w:type="paragraph" w:styleId="5">
    <w:name w:val="footer"/>
    <w:basedOn w:val="1"/>
    <w:link w:val="11"/>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Body Text Indent 3"/>
    <w:basedOn w:val="1"/>
    <w:autoRedefine/>
    <w:unhideWhenUsed/>
    <w:qFormat/>
    <w:uiPriority w:val="0"/>
    <w:pPr>
      <w:widowControl/>
      <w:snapToGrid w:val="0"/>
      <w:spacing w:line="600" w:lineRule="exact"/>
      <w:ind w:left="646" w:leftChars="323" w:firstLine="643" w:firstLineChars="201"/>
    </w:pPr>
    <w:rPr>
      <w:rFonts w:ascii="仿宋_GB2312" w:eastAsia="仿宋_GB2312"/>
      <w:sz w:val="32"/>
    </w:rPr>
  </w:style>
  <w:style w:type="character" w:customStyle="1" w:styleId="10">
    <w:name w:val="页眉 Char"/>
    <w:basedOn w:val="9"/>
    <w:link w:val="6"/>
    <w:qFormat/>
    <w:uiPriority w:val="99"/>
    <w:rPr>
      <w:sz w:val="18"/>
      <w:szCs w:val="18"/>
    </w:rPr>
  </w:style>
  <w:style w:type="character" w:customStyle="1" w:styleId="11">
    <w:name w:val="页脚 Char"/>
    <w:basedOn w:val="9"/>
    <w:link w:val="5"/>
    <w:autoRedefine/>
    <w:qFormat/>
    <w:uiPriority w:val="99"/>
    <w:rPr>
      <w:sz w:val="18"/>
      <w:szCs w:val="18"/>
    </w:rPr>
  </w:style>
  <w:style w:type="paragraph" w:customStyle="1" w:styleId="12">
    <w:name w:val="Char"/>
    <w:basedOn w:val="1"/>
    <w:qFormat/>
    <w:uiPriority w:val="0"/>
    <w:pPr>
      <w:widowControl/>
      <w:spacing w:after="160" w:line="240" w:lineRule="exact"/>
      <w:jc w:val="left"/>
    </w:pPr>
    <w:rPr>
      <w:rFonts w:ascii="Verdana" w:hAnsi="Verdana"/>
      <w:kern w:val="0"/>
      <w:sz w:val="18"/>
      <w:szCs w:val="20"/>
      <w:lang w:eastAsia="en-US"/>
    </w:rPr>
  </w:style>
  <w:style w:type="paragraph" w:styleId="13">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48E13-525D-4D9F-B926-18279DF7C281}">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1021</Words>
  <Characters>1197</Characters>
  <Lines>18</Lines>
  <Paragraphs>5</Paragraphs>
  <TotalTime>0</TotalTime>
  <ScaleCrop>false</ScaleCrop>
  <LinksUpToDate>false</LinksUpToDate>
  <CharactersWithSpaces>1218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2020-01-19T07:05:00Z</dcterms:created>
  <dc:creator>PC</dc:creator>
  <cp:lastModifiedBy>啾啾</cp:lastModifiedBy>
  <dcterms:modified xsi:type="dcterms:W3CDTF">2026-06-25T05:59:38Z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5CED9BA741D84F3D934ABED949DADCA2</vt:lpwstr>
  </property>
  <property fmtid="{D5CDD505-2E9C-101B-9397-08002B2CF9AE}" pid="4" name="KSOSaveFontToCloudKey">
    <vt:lpwstr>559332025_btnclosed</vt:lpwstr>
  </property>
  <property fmtid="{D5CDD505-2E9C-101B-9397-08002B2CF9AE}" pid="5" name="KSOTemplateDocerSaveRecord">
    <vt:lpwstr>eyJoZGlkIjoiNzQ2MTBiNWFhNzA1Y2FjZWI0MWEzN2UyMWExZDU1NjkiLCJ1c2VySWQiOiI0MjY5NjEyMDMifQ==</vt:lpwstr>
  </property>
</Properties>
</file>