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B0647">
      <w:pPr>
        <w:overflowPunct w:val="0"/>
        <w:autoSpaceDE w:val="0"/>
        <w:autoSpaceDN w:val="0"/>
        <w:adjustRightInd w:val="0"/>
        <w:snapToGrid w:val="0"/>
        <w:spacing w:line="400" w:lineRule="atLeast"/>
        <w:jc w:val="center"/>
        <w:rPr>
          <w:rFonts w:hint="eastAsia" w:ascii="黑体" w:hAnsi="宋体" w:eastAsia="黑体"/>
          <w:sz w:val="32"/>
          <w:szCs w:val="32"/>
          <w:lang w:eastAsia="zh-CN"/>
        </w:rPr>
      </w:pPr>
      <w:bookmarkStart w:id="0" w:name="_GoBack"/>
      <w:r>
        <w:rPr>
          <w:rFonts w:hint="eastAsia" w:ascii="黑体" w:hAnsi="宋体" w:eastAsia="黑体"/>
          <w:sz w:val="32"/>
          <w:szCs w:val="32"/>
          <w:lang w:val="en-US" w:eastAsia="zh-CN"/>
        </w:rPr>
        <w:t>宜兴市车用尿素</w:t>
      </w:r>
      <w:r>
        <w:rPr>
          <w:rFonts w:hint="eastAsia" w:ascii="黑体" w:hAnsi="宋体" w:eastAsia="黑体"/>
          <w:sz w:val="32"/>
          <w:szCs w:val="32"/>
          <w:lang w:eastAsia="zh-CN"/>
        </w:rPr>
        <w:t>产品质量监督抽查实施细则</w:t>
      </w:r>
    </w:p>
    <w:p w14:paraId="075664AF">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bookmarkEnd w:id="0"/>
    </w:p>
    <w:p w14:paraId="435502E6">
      <w:pPr>
        <w:overflowPunct w:val="0"/>
        <w:autoSpaceDE w:val="0"/>
        <w:autoSpaceDN w:val="0"/>
        <w:adjustRightInd w:val="0"/>
        <w:snapToGrid w:val="0"/>
        <w:spacing w:line="400" w:lineRule="atLeast"/>
        <w:jc w:val="center"/>
        <w:rPr>
          <w:rFonts w:hint="eastAsia" w:ascii="黑体" w:hAnsi="宋体" w:eastAsia="黑体"/>
          <w:sz w:val="32"/>
          <w:szCs w:val="32"/>
        </w:rPr>
      </w:pPr>
    </w:p>
    <w:p w14:paraId="737BE59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1.范围</w:t>
      </w:r>
    </w:p>
    <w:p w14:paraId="11AA96F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本细则适用于</w:t>
      </w:r>
      <w:r>
        <w:rPr>
          <w:rFonts w:hint="eastAsia" w:ascii="方正仿宋_GBK" w:hAnsi="方正仿宋_GBK" w:eastAsia="方正仿宋_GBK" w:cs="方正仿宋_GBK"/>
          <w:sz w:val="28"/>
          <w:szCs w:val="28"/>
          <w:lang w:val="en-US" w:eastAsia="zh-CN"/>
        </w:rPr>
        <w:t>宜兴市车用尿素</w:t>
      </w:r>
      <w:r>
        <w:rPr>
          <w:rFonts w:hint="eastAsia" w:ascii="方正仿宋_GBK" w:hAnsi="方正仿宋_GBK" w:eastAsia="方正仿宋_GBK" w:cs="方正仿宋_GBK"/>
          <w:sz w:val="28"/>
          <w:szCs w:val="28"/>
        </w:rPr>
        <w:t>产品质量监督抽查检验。本细则规定了此产品的抽样方法、检验依据、检验项目、检验方法、判定</w:t>
      </w:r>
      <w:r>
        <w:rPr>
          <w:rFonts w:hint="eastAsia" w:ascii="方正仿宋_GBK" w:hAnsi="方正仿宋_GBK" w:eastAsia="方正仿宋_GBK" w:cs="方正仿宋_GBK"/>
          <w:sz w:val="28"/>
          <w:szCs w:val="28"/>
          <w:lang w:eastAsia="zh-CN"/>
        </w:rPr>
        <w:t>规</w:t>
      </w:r>
      <w:r>
        <w:rPr>
          <w:rFonts w:hint="eastAsia" w:ascii="方正仿宋_GBK" w:hAnsi="方正仿宋_GBK" w:eastAsia="方正仿宋_GBK" w:cs="方正仿宋_GBK"/>
          <w:sz w:val="28"/>
          <w:szCs w:val="28"/>
        </w:rPr>
        <w:t>则。</w:t>
      </w:r>
    </w:p>
    <w:p w14:paraId="2095FBF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2.抽样方法</w:t>
      </w:r>
    </w:p>
    <w:p w14:paraId="55450415">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sz w:val="28"/>
          <w:szCs w:val="28"/>
          <w:lang w:val="en-US" w:eastAsia="zh-CN"/>
        </w:rPr>
      </w:pPr>
      <w:r>
        <w:rPr>
          <w:rFonts w:hint="default" w:ascii="Times New Roman" w:hAnsi="Times New Roman" w:eastAsia="方正仿宋_GBK" w:cs="Times New Roman"/>
          <w:b/>
          <w:bCs/>
          <w:sz w:val="28"/>
          <w:szCs w:val="28"/>
          <w:lang w:val="en-US" w:eastAsia="zh-CN"/>
        </w:rPr>
        <w:t>2.1</w:t>
      </w:r>
      <w:r>
        <w:rPr>
          <w:rFonts w:hint="eastAsia" w:ascii="方正仿宋_GBK" w:hAnsi="方正仿宋_GBK" w:eastAsia="方正仿宋_GBK" w:cs="方正仿宋_GBK"/>
          <w:b/>
          <w:bCs/>
          <w:sz w:val="28"/>
          <w:szCs w:val="28"/>
          <w:lang w:val="en-US" w:eastAsia="zh-CN"/>
        </w:rPr>
        <w:t>生产企业、实体店抽样</w:t>
      </w:r>
    </w:p>
    <w:p w14:paraId="0E7F903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以随机抽样的方式在被抽样生产者、销售者的待销产品中抽取。随机数一般可使用随机数表等方法产生。</w:t>
      </w:r>
      <w:r>
        <w:rPr>
          <w:rFonts w:hint="eastAsia" w:ascii="方正仿宋_GBK" w:hAnsi="方正仿宋_GBK" w:eastAsia="方正仿宋_GBK" w:cs="方正仿宋_GBK"/>
          <w:sz w:val="28"/>
          <w:szCs w:val="28"/>
          <w:lang w:val="en-US" w:eastAsia="zh-CN"/>
        </w:rPr>
        <w:t>抽取</w:t>
      </w:r>
      <w:r>
        <w:rPr>
          <w:rFonts w:hint="eastAsia" w:ascii="方正仿宋_GBK" w:hAnsi="方正仿宋_GBK" w:eastAsia="方正仿宋_GBK" w:cs="方正仿宋_GBK"/>
          <w:sz w:val="28"/>
          <w:szCs w:val="28"/>
          <w:lang w:eastAsia="zh-CN"/>
        </w:rPr>
        <w:t>样品数量为2个独立包装，每个包装不低于4kg。备用样品为1个独立包装。</w:t>
      </w:r>
    </w:p>
    <w:p w14:paraId="1C43BE88">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检验依据</w:t>
      </w:r>
    </w:p>
    <w:tbl>
      <w:tblPr>
        <w:tblStyle w:val="5"/>
        <w:tblpPr w:leftFromText="180" w:rightFromText="180" w:vertAnchor="text" w:horzAnchor="page" w:tblpX="2143" w:tblpY="21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2897"/>
        <w:gridCol w:w="4400"/>
      </w:tblGrid>
      <w:tr w14:paraId="7117F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5C82AFFC">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序号</w:t>
            </w:r>
          </w:p>
        </w:tc>
        <w:tc>
          <w:tcPr>
            <w:tcW w:w="2897" w:type="dxa"/>
            <w:noWrap w:val="0"/>
            <w:vAlign w:val="center"/>
          </w:tcPr>
          <w:p w14:paraId="6B0E6E99">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检验项目</w:t>
            </w:r>
          </w:p>
        </w:tc>
        <w:tc>
          <w:tcPr>
            <w:tcW w:w="4400" w:type="dxa"/>
            <w:noWrap w:val="0"/>
            <w:vAlign w:val="center"/>
          </w:tcPr>
          <w:p w14:paraId="328E233A">
            <w:pPr>
              <w:ind w:firstLine="0" w:firstLineChars="0"/>
              <w:jc w:val="center"/>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检验</w:t>
            </w:r>
            <w:r>
              <w:rPr>
                <w:rFonts w:hint="eastAsia" w:ascii="方正仿宋_GBK" w:hAnsi="方正仿宋_GBK" w:eastAsia="方正仿宋_GBK" w:cs="方正仿宋_GBK"/>
                <w:b/>
                <w:bCs/>
                <w:sz w:val="28"/>
                <w:szCs w:val="28"/>
                <w:highlight w:val="none"/>
              </w:rPr>
              <w:t>方法</w:t>
            </w:r>
          </w:p>
        </w:tc>
      </w:tr>
      <w:tr w14:paraId="68B7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955" w:type="dxa"/>
            <w:noWrap w:val="0"/>
            <w:vAlign w:val="center"/>
          </w:tcPr>
          <w:p w14:paraId="2961492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w:t>
            </w:r>
          </w:p>
        </w:tc>
        <w:tc>
          <w:tcPr>
            <w:tcW w:w="2897" w:type="dxa"/>
            <w:noWrap w:val="0"/>
            <w:vAlign w:val="center"/>
          </w:tcPr>
          <w:p w14:paraId="0D4BD7E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尿素含量</w:t>
            </w:r>
          </w:p>
        </w:tc>
        <w:tc>
          <w:tcPr>
            <w:tcW w:w="4400" w:type="dxa"/>
            <w:noWrap w:val="0"/>
            <w:vAlign w:val="center"/>
          </w:tcPr>
          <w:p w14:paraId="1073A32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29518-2013</w:t>
            </w:r>
          </w:p>
        </w:tc>
      </w:tr>
      <w:tr w14:paraId="3C901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285BBDC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2</w:t>
            </w:r>
          </w:p>
        </w:tc>
        <w:tc>
          <w:tcPr>
            <w:tcW w:w="2897" w:type="dxa"/>
            <w:noWrap w:val="0"/>
            <w:vAlign w:val="center"/>
          </w:tcPr>
          <w:p w14:paraId="48ADB23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密度</w:t>
            </w:r>
          </w:p>
        </w:tc>
        <w:tc>
          <w:tcPr>
            <w:tcW w:w="4400" w:type="dxa"/>
            <w:noWrap w:val="0"/>
            <w:vAlign w:val="center"/>
          </w:tcPr>
          <w:p w14:paraId="1554B52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SH/T 0604-2000</w:t>
            </w:r>
          </w:p>
        </w:tc>
      </w:tr>
      <w:tr w14:paraId="38ECA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38DD9F1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3</w:t>
            </w:r>
          </w:p>
        </w:tc>
        <w:tc>
          <w:tcPr>
            <w:tcW w:w="2897" w:type="dxa"/>
            <w:noWrap w:val="0"/>
            <w:vAlign w:val="center"/>
          </w:tcPr>
          <w:p w14:paraId="17FF10D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折光率</w:t>
            </w:r>
          </w:p>
        </w:tc>
        <w:tc>
          <w:tcPr>
            <w:tcW w:w="4400" w:type="dxa"/>
            <w:noWrap w:val="0"/>
            <w:vAlign w:val="center"/>
          </w:tcPr>
          <w:p w14:paraId="5FE2528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GB/T 614-2021</w:t>
            </w:r>
          </w:p>
        </w:tc>
      </w:tr>
      <w:tr w14:paraId="2F11A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6E446B4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4</w:t>
            </w:r>
          </w:p>
        </w:tc>
        <w:tc>
          <w:tcPr>
            <w:tcW w:w="2897" w:type="dxa"/>
            <w:noWrap w:val="0"/>
            <w:vAlign w:val="center"/>
          </w:tcPr>
          <w:p w14:paraId="5ED5B36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碱度（以NH3计）</w:t>
            </w:r>
          </w:p>
        </w:tc>
        <w:tc>
          <w:tcPr>
            <w:tcW w:w="4400" w:type="dxa"/>
            <w:noWrap w:val="0"/>
            <w:vAlign w:val="center"/>
          </w:tcPr>
          <w:p w14:paraId="4A59425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29518-2013</w:t>
            </w:r>
          </w:p>
        </w:tc>
      </w:tr>
      <w:tr w14:paraId="482D2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1C6021C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5</w:t>
            </w:r>
          </w:p>
        </w:tc>
        <w:tc>
          <w:tcPr>
            <w:tcW w:w="2897" w:type="dxa"/>
            <w:vAlign w:val="center"/>
          </w:tcPr>
          <w:p w14:paraId="1DCB7CC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缩二脲（质量分数）</w:t>
            </w:r>
          </w:p>
        </w:tc>
        <w:tc>
          <w:tcPr>
            <w:tcW w:w="4400" w:type="dxa"/>
            <w:vAlign w:val="center"/>
          </w:tcPr>
          <w:p w14:paraId="08C8EB1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29518-2013</w:t>
            </w:r>
          </w:p>
        </w:tc>
      </w:tr>
      <w:tr w14:paraId="06F2A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03C84F2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6</w:t>
            </w:r>
          </w:p>
        </w:tc>
        <w:tc>
          <w:tcPr>
            <w:tcW w:w="2897" w:type="dxa"/>
            <w:vAlign w:val="center"/>
          </w:tcPr>
          <w:p w14:paraId="3798120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醛类（以HCHO计）</w:t>
            </w:r>
          </w:p>
        </w:tc>
        <w:tc>
          <w:tcPr>
            <w:tcW w:w="4400" w:type="dxa"/>
            <w:vAlign w:val="center"/>
          </w:tcPr>
          <w:p w14:paraId="3FA90E8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29518-2013</w:t>
            </w:r>
          </w:p>
        </w:tc>
      </w:tr>
      <w:tr w14:paraId="055BC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6D741CE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7</w:t>
            </w:r>
          </w:p>
        </w:tc>
        <w:tc>
          <w:tcPr>
            <w:tcW w:w="2897" w:type="dxa"/>
            <w:vAlign w:val="center"/>
          </w:tcPr>
          <w:p w14:paraId="6DCDE9D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不溶物</w:t>
            </w:r>
          </w:p>
        </w:tc>
        <w:tc>
          <w:tcPr>
            <w:tcW w:w="4400" w:type="dxa"/>
            <w:vAlign w:val="center"/>
          </w:tcPr>
          <w:p w14:paraId="13F57B0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29518-2013</w:t>
            </w:r>
          </w:p>
        </w:tc>
      </w:tr>
      <w:tr w14:paraId="58260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5EB9575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8</w:t>
            </w:r>
          </w:p>
        </w:tc>
        <w:tc>
          <w:tcPr>
            <w:tcW w:w="2897" w:type="dxa"/>
            <w:vAlign w:val="center"/>
          </w:tcPr>
          <w:p w14:paraId="0F3B9DC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磷酸盐（以PO4计）</w:t>
            </w:r>
          </w:p>
        </w:tc>
        <w:tc>
          <w:tcPr>
            <w:tcW w:w="4400" w:type="dxa"/>
            <w:vAlign w:val="center"/>
          </w:tcPr>
          <w:p w14:paraId="06ECD21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29518-2013</w:t>
            </w:r>
          </w:p>
        </w:tc>
      </w:tr>
      <w:tr w14:paraId="0F837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3BDFE38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9</w:t>
            </w:r>
          </w:p>
        </w:tc>
        <w:tc>
          <w:tcPr>
            <w:tcW w:w="2897" w:type="dxa"/>
            <w:vAlign w:val="center"/>
          </w:tcPr>
          <w:p w14:paraId="5D0FB97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钙</w:t>
            </w:r>
          </w:p>
        </w:tc>
        <w:tc>
          <w:tcPr>
            <w:tcW w:w="4400" w:type="dxa"/>
            <w:vAlign w:val="center"/>
          </w:tcPr>
          <w:p w14:paraId="194BB35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29518-2013</w:t>
            </w:r>
          </w:p>
        </w:tc>
      </w:tr>
      <w:tr w14:paraId="1AC48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02661C9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10</w:t>
            </w:r>
          </w:p>
        </w:tc>
        <w:tc>
          <w:tcPr>
            <w:tcW w:w="2897" w:type="dxa"/>
            <w:vAlign w:val="center"/>
          </w:tcPr>
          <w:p w14:paraId="14F1993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铁</w:t>
            </w:r>
          </w:p>
        </w:tc>
        <w:tc>
          <w:tcPr>
            <w:tcW w:w="4400" w:type="dxa"/>
            <w:vAlign w:val="center"/>
          </w:tcPr>
          <w:p w14:paraId="332F476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29518-2013</w:t>
            </w:r>
          </w:p>
        </w:tc>
      </w:tr>
      <w:tr w14:paraId="7A51D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32BF6E0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11</w:t>
            </w:r>
          </w:p>
        </w:tc>
        <w:tc>
          <w:tcPr>
            <w:tcW w:w="2897" w:type="dxa"/>
            <w:vAlign w:val="center"/>
          </w:tcPr>
          <w:p w14:paraId="671C6FA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铜</w:t>
            </w:r>
          </w:p>
        </w:tc>
        <w:tc>
          <w:tcPr>
            <w:tcW w:w="4400" w:type="dxa"/>
            <w:vAlign w:val="center"/>
          </w:tcPr>
          <w:p w14:paraId="605BEED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29518-2013</w:t>
            </w:r>
          </w:p>
        </w:tc>
      </w:tr>
      <w:tr w14:paraId="1824F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6E4A6C5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12</w:t>
            </w:r>
          </w:p>
        </w:tc>
        <w:tc>
          <w:tcPr>
            <w:tcW w:w="2897" w:type="dxa"/>
            <w:vAlign w:val="center"/>
          </w:tcPr>
          <w:p w14:paraId="5FFD0A3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锌</w:t>
            </w:r>
          </w:p>
        </w:tc>
        <w:tc>
          <w:tcPr>
            <w:tcW w:w="4400" w:type="dxa"/>
            <w:vAlign w:val="center"/>
          </w:tcPr>
          <w:p w14:paraId="679E3D1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29518-2013</w:t>
            </w:r>
          </w:p>
        </w:tc>
      </w:tr>
      <w:tr w14:paraId="249A4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13A65DF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13</w:t>
            </w:r>
          </w:p>
        </w:tc>
        <w:tc>
          <w:tcPr>
            <w:tcW w:w="2897" w:type="dxa"/>
            <w:vAlign w:val="center"/>
          </w:tcPr>
          <w:p w14:paraId="714D57B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铬</w:t>
            </w:r>
          </w:p>
        </w:tc>
        <w:tc>
          <w:tcPr>
            <w:tcW w:w="4400" w:type="dxa"/>
            <w:vAlign w:val="center"/>
          </w:tcPr>
          <w:p w14:paraId="7F3DB3B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29518-2013</w:t>
            </w:r>
          </w:p>
        </w:tc>
      </w:tr>
      <w:tr w14:paraId="2E0D7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5C16085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14</w:t>
            </w:r>
          </w:p>
        </w:tc>
        <w:tc>
          <w:tcPr>
            <w:tcW w:w="2897" w:type="dxa"/>
            <w:vAlign w:val="center"/>
          </w:tcPr>
          <w:p w14:paraId="7EE70CE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镍</w:t>
            </w:r>
          </w:p>
        </w:tc>
        <w:tc>
          <w:tcPr>
            <w:tcW w:w="4400" w:type="dxa"/>
            <w:vAlign w:val="center"/>
          </w:tcPr>
          <w:p w14:paraId="0C38C83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29518-2013</w:t>
            </w:r>
          </w:p>
        </w:tc>
      </w:tr>
      <w:tr w14:paraId="58A2C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62A8489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15</w:t>
            </w:r>
          </w:p>
        </w:tc>
        <w:tc>
          <w:tcPr>
            <w:tcW w:w="2897" w:type="dxa"/>
            <w:vAlign w:val="center"/>
          </w:tcPr>
          <w:p w14:paraId="0A5C0EA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铝</w:t>
            </w:r>
          </w:p>
        </w:tc>
        <w:tc>
          <w:tcPr>
            <w:tcW w:w="4400" w:type="dxa"/>
            <w:vAlign w:val="center"/>
          </w:tcPr>
          <w:p w14:paraId="1AFB01C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29518-2013</w:t>
            </w:r>
          </w:p>
        </w:tc>
      </w:tr>
      <w:tr w14:paraId="3C9A8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20BE63E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16</w:t>
            </w:r>
          </w:p>
        </w:tc>
        <w:tc>
          <w:tcPr>
            <w:tcW w:w="2897" w:type="dxa"/>
            <w:vAlign w:val="center"/>
          </w:tcPr>
          <w:p w14:paraId="436BD02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镁</w:t>
            </w:r>
          </w:p>
        </w:tc>
        <w:tc>
          <w:tcPr>
            <w:tcW w:w="4400" w:type="dxa"/>
            <w:vAlign w:val="center"/>
          </w:tcPr>
          <w:p w14:paraId="31D99F8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29518-2013</w:t>
            </w:r>
          </w:p>
        </w:tc>
      </w:tr>
      <w:tr w14:paraId="6F85A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5D6B827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17</w:t>
            </w:r>
          </w:p>
        </w:tc>
        <w:tc>
          <w:tcPr>
            <w:tcW w:w="2897" w:type="dxa"/>
            <w:vAlign w:val="center"/>
          </w:tcPr>
          <w:p w14:paraId="4E3FF17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钠</w:t>
            </w:r>
          </w:p>
        </w:tc>
        <w:tc>
          <w:tcPr>
            <w:tcW w:w="4400" w:type="dxa"/>
            <w:vAlign w:val="center"/>
          </w:tcPr>
          <w:p w14:paraId="21B2D44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 29518-2013</w:t>
            </w:r>
          </w:p>
        </w:tc>
      </w:tr>
      <w:tr w14:paraId="27496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3BD1572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18</w:t>
            </w:r>
          </w:p>
        </w:tc>
        <w:tc>
          <w:tcPr>
            <w:tcW w:w="2897" w:type="dxa"/>
            <w:vAlign w:val="center"/>
          </w:tcPr>
          <w:p w14:paraId="217F2B1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钾</w:t>
            </w:r>
          </w:p>
        </w:tc>
        <w:tc>
          <w:tcPr>
            <w:tcW w:w="4400" w:type="dxa"/>
            <w:vAlign w:val="center"/>
          </w:tcPr>
          <w:p w14:paraId="2E58001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 29518-2013</w:t>
            </w:r>
          </w:p>
        </w:tc>
      </w:tr>
      <w:tr w14:paraId="4761F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33A509C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19</w:t>
            </w:r>
          </w:p>
        </w:tc>
        <w:tc>
          <w:tcPr>
            <w:tcW w:w="2897" w:type="dxa"/>
            <w:vAlign w:val="center"/>
          </w:tcPr>
          <w:p w14:paraId="64F9D22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一致性确认</w:t>
            </w:r>
          </w:p>
        </w:tc>
        <w:tc>
          <w:tcPr>
            <w:tcW w:w="4400" w:type="dxa"/>
            <w:vAlign w:val="center"/>
          </w:tcPr>
          <w:p w14:paraId="49BD566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 29518-2013</w:t>
            </w:r>
          </w:p>
        </w:tc>
      </w:tr>
    </w:tbl>
    <w:p w14:paraId="07994F2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4.判定规则</w:t>
      </w:r>
    </w:p>
    <w:p w14:paraId="015C6F19">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w:t>
      </w:r>
      <w:r>
        <w:rPr>
          <w:rFonts w:hint="eastAsia" w:ascii="方正仿宋_GBK" w:hAnsi="方正仿宋_GBK" w:eastAsia="方正仿宋_GBK" w:cs="方正仿宋_GBK"/>
          <w:b/>
          <w:bCs/>
          <w:kern w:val="0"/>
          <w:sz w:val="28"/>
          <w:szCs w:val="28"/>
          <w:shd w:val="clear" w:color="auto" w:fill="FFFFFF"/>
          <w:lang w:bidi="ar"/>
        </w:rPr>
        <w:t>依据标准</w:t>
      </w:r>
    </w:p>
    <w:p w14:paraId="3D6D1A5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 29518-2013 柴油发动机氮氧化物还原剂 尿素水溶液（AUS 32）</w:t>
      </w:r>
    </w:p>
    <w:p w14:paraId="037A580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rPr>
      </w:pPr>
      <w:r>
        <w:rPr>
          <w:rFonts w:hint="eastAsia" w:ascii="方正仿宋_GBK" w:hAnsi="方正仿宋_GBK" w:eastAsia="方正仿宋_GBK" w:cs="方正仿宋_GBK"/>
          <w:sz w:val="28"/>
          <w:szCs w:val="28"/>
        </w:rPr>
        <w:t>现行有效的企业标准、团体标准、地方标准及产品明示质量要求</w:t>
      </w:r>
    </w:p>
    <w:p w14:paraId="5217097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Times New Roman" w:hAnsi="Times New Roman" w:eastAsia="方正仿宋_GBK" w:cs="Times New Roman"/>
          <w:b/>
          <w:bCs/>
          <w:kern w:val="0"/>
          <w:sz w:val="28"/>
          <w:szCs w:val="28"/>
          <w:shd w:val="clear" w:color="auto" w:fill="FFFFFF"/>
          <w:lang w:bidi="ar"/>
        </w:rPr>
        <w:t>4.2判定原则</w:t>
      </w:r>
    </w:p>
    <w:p w14:paraId="0282BF5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经检验，检验项目全部合格，判定为被抽查产品所检项目未发现不合格；检验项目中任一项或一项以上不合格，判定为被抽查产品不合格。</w:t>
      </w:r>
    </w:p>
    <w:p w14:paraId="04DAB0A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若被检产品明示的质量要求高于本细则中检验项目依据的标准要求时，应按被检产品明示的质量要求判定。</w:t>
      </w:r>
    </w:p>
    <w:p w14:paraId="640FE23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若被检产品明示的质量要求低于本细则中检验项目依据的强制性标准要求时，应按照强制性标准要求判定。</w:t>
      </w:r>
    </w:p>
    <w:p w14:paraId="6009004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若被检产品明示的质量要求低于或包含本细则中检验项目依据的推荐性标准要求时，应以被检产品明示的质量要求判定。</w:t>
      </w:r>
    </w:p>
    <w:p w14:paraId="350C798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若被检产品明示的质量要求缺少本细则中检验项目依据的强制性标准要求时，应按照强制性标准要求判定。</w:t>
      </w:r>
    </w:p>
    <w:p w14:paraId="0D8EF079">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若被检产品明示的质量要求缺少本细则中检验项目依据的推荐性标准要求时，该项目不参与判定。</w:t>
      </w:r>
    </w:p>
    <w:p w14:paraId="0CFC5825">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panose1 w:val="03000509000000000000"/>
    <w:charset w:val="86"/>
    <w:family w:val="auto"/>
    <w:pitch w:val="default"/>
    <w:sig w:usb0="00000001" w:usb1="080E0000" w:usb2="00000000" w:usb3="00000000" w:csb0="00040000" w:csb1="00000000"/>
    <w:embedRegular r:id="rId1" w:fontKey="{7D53D754-56A6-4A5F-8A8B-47D467F4BE52}"/>
  </w:font>
  <w:font w:name="方正仿宋_GBK">
    <w:panose1 w:val="02000000000000000000"/>
    <w:charset w:val="86"/>
    <w:family w:val="auto"/>
    <w:pitch w:val="default"/>
    <w:sig w:usb0="00000001" w:usb1="080E0000" w:usb2="00000000" w:usb3="00000000" w:csb0="00040000" w:csb1="00000000"/>
    <w:embedRegular r:id="rId2" w:fontKey="{83808F14-F5AF-4EA4-9F3E-8B00D881D8C4}"/>
  </w:font>
  <w:font w:name="仿宋_GB2312">
    <w:panose1 w:val="02010609030101010101"/>
    <w:charset w:val="86"/>
    <w:family w:val="modern"/>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B4AB0A6B">
    <w:panose1 w:val="020B0704020202020204"/>
    <w:charset w:val="00"/>
    <w:family w:val="auto"/>
    <w:pitch w:val="default"/>
    <w:sig w:usb0="00000001"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4"/>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18A7"/>
    <w:rsid w:val="247E6D63"/>
    <w:rsid w:val="25470D5C"/>
    <w:rsid w:val="3FD30DCD"/>
    <w:rsid w:val="4830235B"/>
    <w:rsid w:val="5BC2263F"/>
    <w:rsid w:val="70913C30"/>
    <w:rsid w:val="743205DA"/>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2"/>
    <w:basedOn w:val="3"/>
    <w:unhideWhenUsed/>
    <w:qFormat/>
    <w:uiPriority w:val="99"/>
    <w:pPr>
      <w:spacing w:after="120"/>
      <w:ind w:left="420" w:firstLine="420"/>
    </w:pPr>
    <w:rPr>
      <w:rFonts w:ascii="Calibri" w:hAnsi="Calibri" w:eastAsia="宋体" w:cs="Times New Roman"/>
      <w:sz w:val="21"/>
      <w:szCs w:val="22"/>
    </w:rPr>
  </w:style>
  <w:style w:type="paragraph" w:styleId="3">
    <w:name w:val="Body Text 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797</Words>
  <Characters>962</Characters>
  <Lines>0</Lines>
  <Paragraphs>0</Paragraphs>
  <TotalTime>0</TotalTime>
  <ScaleCrop>false</ScaleCrop>
  <LinksUpToDate>false</LinksUpToDate>
  <CharactersWithSpaces>982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Dopamine</cp:lastModifiedBy>
  <dcterms:modified xsi:type="dcterms:W3CDTF">2026-06-22T11:08:49Z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eyJoZGlkIjoiODIyNDk0ZmI2OTVhM2MyMWNjZDY3YTI3MWI5NjhlNmEiLCJ1c2VySWQiOiI2NjU5NTA4NDUifQ==</vt:lpwstr>
  </property>
  <property fmtid="{D5CDD505-2E9C-101B-9397-08002B2CF9AE}" pid="4" name="ICV">
    <vt:lpwstr>C8084175F8474DD7BA3E6CC3B461FEC8_13</vt:lpwstr>
  </property>
</Properties>
</file>