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E1AA2">
      <w:pPr>
        <w:overflowPunct w:val="0"/>
        <w:autoSpaceDE w:val="0"/>
        <w:autoSpaceDN w:val="0"/>
        <w:adjustRightInd w:val="0"/>
        <w:snapToGrid w:val="0"/>
        <w:spacing w:line="400" w:lineRule="atLeast"/>
        <w:jc w:val="center"/>
        <w:rPr>
          <w:rFonts w:hint="eastAsia" w:ascii="黑体" w:hAnsi="宋体" w:eastAsia="黑体"/>
          <w:sz w:val="32"/>
          <w:szCs w:val="32"/>
          <w:lang w:eastAsia="zh-CN"/>
        </w:rPr>
      </w:pPr>
      <w:r>
        <w:rPr>
          <w:rFonts w:hint="eastAsia" w:ascii="黑体" w:hAnsi="宋体" w:eastAsia="黑体"/>
          <w:sz w:val="32"/>
          <w:szCs w:val="32"/>
          <w:lang w:val="en-US" w:eastAsia="zh-CN"/>
        </w:rPr>
        <w:t>宜兴市活性炭</w:t>
      </w:r>
      <w:r>
        <w:rPr>
          <w:rFonts w:hint="eastAsia" w:ascii="黑体" w:hAnsi="宋体" w:eastAsia="黑体"/>
          <w:sz w:val="32"/>
          <w:szCs w:val="32"/>
          <w:lang w:eastAsia="zh-CN"/>
        </w:rPr>
        <w:t>产品质量监督抽查实施细则</w:t>
      </w:r>
    </w:p>
    <w:p w14:paraId="0E04136A">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71FC356E">
      <w:pPr>
        <w:overflowPunct w:val="0"/>
        <w:autoSpaceDE w:val="0"/>
        <w:autoSpaceDN w:val="0"/>
        <w:adjustRightInd w:val="0"/>
        <w:snapToGrid w:val="0"/>
        <w:spacing w:line="400" w:lineRule="atLeast"/>
        <w:jc w:val="center"/>
        <w:rPr>
          <w:rFonts w:hint="eastAsia" w:ascii="黑体" w:hAnsi="宋体" w:eastAsia="黑体"/>
          <w:sz w:val="32"/>
          <w:szCs w:val="32"/>
        </w:rPr>
      </w:pPr>
    </w:p>
    <w:p w14:paraId="7C130D6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1.范围</w:t>
      </w:r>
    </w:p>
    <w:p w14:paraId="1644471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本细则适用于</w:t>
      </w:r>
      <w:r>
        <w:rPr>
          <w:rFonts w:hint="eastAsia" w:ascii="方正仿宋_GBK" w:hAnsi="方正仿宋_GBK" w:eastAsia="方正仿宋_GBK" w:cs="方正仿宋_GBK"/>
          <w:sz w:val="28"/>
          <w:szCs w:val="28"/>
          <w:lang w:val="en-US" w:eastAsia="zh-CN"/>
        </w:rPr>
        <w:t>宜兴市活性炭</w:t>
      </w:r>
      <w:r>
        <w:rPr>
          <w:rFonts w:hint="eastAsia" w:ascii="方正仿宋_GBK" w:hAnsi="方正仿宋_GBK" w:eastAsia="方正仿宋_GBK" w:cs="方正仿宋_GBK"/>
          <w:sz w:val="28"/>
          <w:szCs w:val="28"/>
        </w:rPr>
        <w:t>产品质量监督抽查检验。本细则规定了此产品的抽样方法、检验依据、检验项目、检验方法、判定</w:t>
      </w:r>
      <w:r>
        <w:rPr>
          <w:rFonts w:hint="eastAsia" w:ascii="方正仿宋_GBK" w:hAnsi="方正仿宋_GBK" w:eastAsia="方正仿宋_GBK" w:cs="方正仿宋_GBK"/>
          <w:sz w:val="28"/>
          <w:szCs w:val="28"/>
          <w:lang w:eastAsia="zh-CN"/>
        </w:rPr>
        <w:t>规</w:t>
      </w:r>
      <w:r>
        <w:rPr>
          <w:rFonts w:hint="eastAsia" w:ascii="方正仿宋_GBK" w:hAnsi="方正仿宋_GBK" w:eastAsia="方正仿宋_GBK" w:cs="方正仿宋_GBK"/>
          <w:sz w:val="28"/>
          <w:szCs w:val="28"/>
        </w:rPr>
        <w:t>则。</w:t>
      </w:r>
    </w:p>
    <w:p w14:paraId="1B10381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2.抽样方法</w:t>
      </w:r>
    </w:p>
    <w:p w14:paraId="4C94595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sz w:val="28"/>
          <w:szCs w:val="28"/>
          <w:lang w:val="en-US" w:eastAsia="zh-CN"/>
        </w:rPr>
      </w:pPr>
      <w:r>
        <w:rPr>
          <w:rFonts w:hint="default" w:ascii="Times New Roman" w:hAnsi="Times New Roman" w:eastAsia="方正仿宋_GBK" w:cs="Times New Roman"/>
          <w:b/>
          <w:bCs/>
          <w:sz w:val="28"/>
          <w:szCs w:val="28"/>
          <w:lang w:val="en-US" w:eastAsia="zh-CN"/>
        </w:rPr>
        <w:t>2.1</w:t>
      </w:r>
      <w:r>
        <w:rPr>
          <w:rFonts w:hint="eastAsia" w:ascii="方正仿宋_GBK" w:hAnsi="方正仿宋_GBK" w:eastAsia="方正仿宋_GBK" w:cs="方正仿宋_GBK"/>
          <w:b/>
          <w:bCs/>
          <w:sz w:val="28"/>
          <w:szCs w:val="28"/>
          <w:lang w:val="en-US" w:eastAsia="zh-CN"/>
        </w:rPr>
        <w:t>生产企业抽样</w:t>
      </w:r>
    </w:p>
    <w:p w14:paraId="4208B08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以随机抽样的方式在被抽样生产者</w:t>
      </w:r>
      <w:bookmarkStart w:id="0" w:name="_GoBack"/>
      <w:bookmarkEnd w:id="0"/>
      <w:r>
        <w:rPr>
          <w:rFonts w:hint="eastAsia" w:ascii="方正仿宋_GBK" w:hAnsi="方正仿宋_GBK" w:eastAsia="方正仿宋_GBK" w:cs="方正仿宋_GBK"/>
          <w:sz w:val="28"/>
          <w:szCs w:val="28"/>
        </w:rPr>
        <w:t>的待销产品中抽取。随机数一般可使用随机数表等方法产生。每批次产品抽取样品2</w:t>
      </w:r>
      <w:r>
        <w:rPr>
          <w:rFonts w:hint="eastAsia" w:ascii="方正仿宋_GBK" w:hAnsi="方正仿宋_GBK" w:eastAsia="方正仿宋_GBK" w:cs="方正仿宋_GBK"/>
          <w:sz w:val="28"/>
          <w:szCs w:val="28"/>
          <w:lang w:val="en-US" w:eastAsia="zh-CN"/>
        </w:rPr>
        <w:t>kg</w:t>
      </w:r>
      <w:r>
        <w:rPr>
          <w:rFonts w:hint="eastAsia" w:ascii="方正仿宋_GBK" w:hAnsi="方正仿宋_GBK" w:eastAsia="方正仿宋_GBK" w:cs="方正仿宋_GBK"/>
          <w:sz w:val="28"/>
          <w:szCs w:val="28"/>
        </w:rPr>
        <w:t>，其中1</w:t>
      </w:r>
      <w:r>
        <w:rPr>
          <w:rFonts w:hint="eastAsia" w:ascii="方正仿宋_GBK" w:hAnsi="方正仿宋_GBK" w:eastAsia="方正仿宋_GBK" w:cs="方正仿宋_GBK"/>
          <w:sz w:val="28"/>
          <w:szCs w:val="28"/>
          <w:lang w:val="en-US" w:eastAsia="zh-CN"/>
        </w:rPr>
        <w:t>kg</w:t>
      </w:r>
      <w:r>
        <w:rPr>
          <w:rFonts w:hint="eastAsia" w:ascii="方正仿宋_GBK" w:hAnsi="方正仿宋_GBK" w:eastAsia="方正仿宋_GBK" w:cs="方正仿宋_GBK"/>
          <w:sz w:val="28"/>
          <w:szCs w:val="28"/>
        </w:rPr>
        <w:t>为检验样品，1</w:t>
      </w:r>
      <w:r>
        <w:rPr>
          <w:rFonts w:hint="eastAsia" w:ascii="方正仿宋_GBK" w:hAnsi="方正仿宋_GBK" w:eastAsia="方正仿宋_GBK" w:cs="方正仿宋_GBK"/>
          <w:sz w:val="28"/>
          <w:szCs w:val="28"/>
          <w:lang w:val="en-US" w:eastAsia="zh-CN"/>
        </w:rPr>
        <w:t>kg</w:t>
      </w:r>
      <w:r>
        <w:rPr>
          <w:rFonts w:hint="eastAsia" w:ascii="方正仿宋_GBK" w:hAnsi="方正仿宋_GBK" w:eastAsia="方正仿宋_GBK" w:cs="方正仿宋_GBK"/>
          <w:sz w:val="28"/>
          <w:szCs w:val="28"/>
        </w:rPr>
        <w:t>为备用样品。</w:t>
      </w:r>
    </w:p>
    <w:p w14:paraId="0B52E3E9">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检验依据</w:t>
      </w:r>
    </w:p>
    <w:tbl>
      <w:tblPr>
        <w:tblStyle w:val="4"/>
        <w:tblpPr w:leftFromText="180" w:rightFromText="180" w:vertAnchor="text" w:horzAnchor="page" w:tblpX="2143" w:tblpY="2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2897"/>
        <w:gridCol w:w="4400"/>
      </w:tblGrid>
      <w:tr w14:paraId="00A44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19ECB5A8">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序号</w:t>
            </w:r>
          </w:p>
        </w:tc>
        <w:tc>
          <w:tcPr>
            <w:tcW w:w="2897" w:type="dxa"/>
            <w:noWrap w:val="0"/>
            <w:vAlign w:val="center"/>
          </w:tcPr>
          <w:p w14:paraId="4C4BD4AE">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检验项目</w:t>
            </w:r>
          </w:p>
        </w:tc>
        <w:tc>
          <w:tcPr>
            <w:tcW w:w="4400" w:type="dxa"/>
            <w:noWrap w:val="0"/>
            <w:vAlign w:val="center"/>
          </w:tcPr>
          <w:p w14:paraId="5C088B2B">
            <w:pPr>
              <w:ind w:firstLine="0" w:firstLineChars="0"/>
              <w:jc w:val="center"/>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检验</w:t>
            </w:r>
            <w:r>
              <w:rPr>
                <w:rFonts w:hint="eastAsia" w:ascii="方正仿宋_GBK" w:hAnsi="方正仿宋_GBK" w:eastAsia="方正仿宋_GBK" w:cs="方正仿宋_GBK"/>
                <w:b/>
                <w:bCs/>
                <w:sz w:val="28"/>
                <w:szCs w:val="28"/>
                <w:highlight w:val="none"/>
              </w:rPr>
              <w:t>方法</w:t>
            </w:r>
          </w:p>
        </w:tc>
      </w:tr>
      <w:tr w14:paraId="1690E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55" w:type="dxa"/>
            <w:noWrap w:val="0"/>
            <w:vAlign w:val="center"/>
          </w:tcPr>
          <w:p w14:paraId="35F10C7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w:t>
            </w:r>
          </w:p>
        </w:tc>
        <w:tc>
          <w:tcPr>
            <w:tcW w:w="2897" w:type="dxa"/>
            <w:noWrap w:val="0"/>
            <w:vAlign w:val="center"/>
          </w:tcPr>
          <w:p w14:paraId="694F199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漂浮率</w:t>
            </w:r>
          </w:p>
        </w:tc>
        <w:tc>
          <w:tcPr>
            <w:tcW w:w="4400" w:type="dxa"/>
            <w:noWrap w:val="0"/>
            <w:vAlign w:val="center"/>
          </w:tcPr>
          <w:p w14:paraId="35ECC3E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 xml:space="preserve">GB/T 7702.17-1997 </w:t>
            </w:r>
          </w:p>
        </w:tc>
      </w:tr>
      <w:tr w14:paraId="31390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4F9E769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2</w:t>
            </w:r>
          </w:p>
        </w:tc>
        <w:tc>
          <w:tcPr>
            <w:tcW w:w="2897" w:type="dxa"/>
            <w:noWrap w:val="0"/>
            <w:vAlign w:val="center"/>
          </w:tcPr>
          <w:p w14:paraId="7BDCADA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水分</w:t>
            </w:r>
          </w:p>
        </w:tc>
        <w:tc>
          <w:tcPr>
            <w:tcW w:w="4400" w:type="dxa"/>
            <w:noWrap w:val="0"/>
            <w:vAlign w:val="center"/>
          </w:tcPr>
          <w:p w14:paraId="08A993D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GB/T 7702.1-1997 </w:t>
            </w:r>
          </w:p>
          <w:p w14:paraId="09EA829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 xml:space="preserve">GB/T 12496.4-1999 </w:t>
            </w:r>
          </w:p>
        </w:tc>
      </w:tr>
      <w:tr w14:paraId="63BCA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012875C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3</w:t>
            </w:r>
          </w:p>
        </w:tc>
        <w:tc>
          <w:tcPr>
            <w:tcW w:w="2897" w:type="dxa"/>
            <w:noWrap w:val="0"/>
            <w:vAlign w:val="center"/>
          </w:tcPr>
          <w:p w14:paraId="389EB46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pH</w:t>
            </w:r>
          </w:p>
        </w:tc>
        <w:tc>
          <w:tcPr>
            <w:tcW w:w="4400" w:type="dxa"/>
            <w:noWrap w:val="0"/>
            <w:vAlign w:val="center"/>
          </w:tcPr>
          <w:p w14:paraId="77E29AB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GB/T 7702.16-1997 </w:t>
            </w:r>
          </w:p>
          <w:p w14:paraId="27C0ED2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 xml:space="preserve">GB/T 12496.7-1999 </w:t>
            </w:r>
          </w:p>
        </w:tc>
      </w:tr>
      <w:tr w14:paraId="697C7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5CBBBEB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4</w:t>
            </w:r>
          </w:p>
        </w:tc>
        <w:tc>
          <w:tcPr>
            <w:tcW w:w="2897" w:type="dxa"/>
            <w:noWrap w:val="0"/>
            <w:vAlign w:val="center"/>
          </w:tcPr>
          <w:p w14:paraId="1708348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水溶物</w:t>
            </w:r>
          </w:p>
        </w:tc>
        <w:tc>
          <w:tcPr>
            <w:tcW w:w="4400" w:type="dxa"/>
            <w:noWrap w:val="0"/>
            <w:vAlign w:val="center"/>
          </w:tcPr>
          <w:p w14:paraId="5388689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 xml:space="preserve">GB/T 7701.2-2008 </w:t>
            </w:r>
          </w:p>
        </w:tc>
      </w:tr>
      <w:tr w14:paraId="65312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20C4FFD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5</w:t>
            </w:r>
          </w:p>
        </w:tc>
        <w:tc>
          <w:tcPr>
            <w:tcW w:w="2897" w:type="dxa"/>
            <w:vAlign w:val="center"/>
          </w:tcPr>
          <w:p w14:paraId="22A8601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粒度</w:t>
            </w:r>
          </w:p>
        </w:tc>
        <w:tc>
          <w:tcPr>
            <w:tcW w:w="4400" w:type="dxa"/>
            <w:vAlign w:val="center"/>
          </w:tcPr>
          <w:p w14:paraId="2B2A63C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GB/T 7702.2-1997</w:t>
            </w:r>
          </w:p>
        </w:tc>
      </w:tr>
      <w:tr w14:paraId="5F973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7E061B8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6</w:t>
            </w:r>
          </w:p>
        </w:tc>
        <w:tc>
          <w:tcPr>
            <w:tcW w:w="2897" w:type="dxa"/>
            <w:vAlign w:val="center"/>
          </w:tcPr>
          <w:p w14:paraId="0AAC700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灰分</w:t>
            </w:r>
          </w:p>
        </w:tc>
        <w:tc>
          <w:tcPr>
            <w:tcW w:w="4400" w:type="dxa"/>
            <w:vAlign w:val="center"/>
          </w:tcPr>
          <w:p w14:paraId="660C034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 xml:space="preserve">GB/T 12496.3-1999 </w:t>
            </w:r>
          </w:p>
        </w:tc>
      </w:tr>
      <w:tr w14:paraId="3A44E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49811DD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7</w:t>
            </w:r>
          </w:p>
        </w:tc>
        <w:tc>
          <w:tcPr>
            <w:tcW w:w="2897" w:type="dxa"/>
            <w:vAlign w:val="center"/>
          </w:tcPr>
          <w:p w14:paraId="6BB1B6F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碘吸附值</w:t>
            </w:r>
          </w:p>
        </w:tc>
        <w:tc>
          <w:tcPr>
            <w:tcW w:w="4400" w:type="dxa"/>
            <w:vAlign w:val="center"/>
          </w:tcPr>
          <w:p w14:paraId="382ED39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7702.7-20</w:t>
            </w:r>
            <w:r>
              <w:rPr>
                <w:rFonts w:hint="eastAsia" w:ascii="方正仿宋_GBK" w:hAnsi="方正仿宋_GBK" w:eastAsia="方正仿宋_GBK" w:cs="方正仿宋_GBK"/>
                <w:sz w:val="28"/>
                <w:szCs w:val="28"/>
                <w:lang w:val="en-US" w:eastAsia="zh-CN"/>
              </w:rPr>
              <w:t>23</w:t>
            </w:r>
            <w:r>
              <w:rPr>
                <w:rFonts w:hint="eastAsia" w:ascii="方正仿宋_GBK" w:hAnsi="方正仿宋_GBK" w:eastAsia="方正仿宋_GBK" w:cs="方正仿宋_GBK"/>
                <w:sz w:val="28"/>
                <w:szCs w:val="28"/>
              </w:rPr>
              <w:t> </w:t>
            </w:r>
          </w:p>
          <w:p w14:paraId="5BBF1BA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 xml:space="preserve">GB/T 12496.8-2015 </w:t>
            </w:r>
          </w:p>
        </w:tc>
      </w:tr>
      <w:tr w14:paraId="71915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2107650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8</w:t>
            </w:r>
          </w:p>
        </w:tc>
        <w:tc>
          <w:tcPr>
            <w:tcW w:w="2897" w:type="dxa"/>
            <w:vAlign w:val="center"/>
          </w:tcPr>
          <w:p w14:paraId="3D66312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亚甲蓝吸附值</w:t>
            </w:r>
          </w:p>
        </w:tc>
        <w:tc>
          <w:tcPr>
            <w:tcW w:w="4400" w:type="dxa"/>
            <w:vAlign w:val="center"/>
          </w:tcPr>
          <w:p w14:paraId="10269F2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GB/T 7702.6-2008 </w:t>
            </w:r>
          </w:p>
          <w:p w14:paraId="549DC7A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 xml:space="preserve">GB/T 12496.10-1999 </w:t>
            </w:r>
          </w:p>
        </w:tc>
      </w:tr>
      <w:tr w14:paraId="55ECC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7304AE7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9</w:t>
            </w:r>
          </w:p>
        </w:tc>
        <w:tc>
          <w:tcPr>
            <w:tcW w:w="2897" w:type="dxa"/>
            <w:vAlign w:val="center"/>
          </w:tcPr>
          <w:p w14:paraId="042B84B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苯酚吸附值</w:t>
            </w:r>
          </w:p>
        </w:tc>
        <w:tc>
          <w:tcPr>
            <w:tcW w:w="4400" w:type="dxa"/>
            <w:vAlign w:val="center"/>
          </w:tcPr>
          <w:p w14:paraId="693A67D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 xml:space="preserve">GB/T 7702.8-2008 </w:t>
            </w:r>
          </w:p>
        </w:tc>
      </w:tr>
    </w:tbl>
    <w:p w14:paraId="25F68C7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4.判定规则</w:t>
      </w:r>
    </w:p>
    <w:p w14:paraId="2C97856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w:t>
      </w:r>
      <w:r>
        <w:rPr>
          <w:rFonts w:hint="eastAsia" w:ascii="方正仿宋_GBK" w:hAnsi="方正仿宋_GBK" w:eastAsia="方正仿宋_GBK" w:cs="方正仿宋_GBK"/>
          <w:b/>
          <w:bCs/>
          <w:kern w:val="0"/>
          <w:sz w:val="28"/>
          <w:szCs w:val="28"/>
          <w:shd w:val="clear" w:color="auto" w:fill="FFFFFF"/>
          <w:lang w:bidi="ar"/>
        </w:rPr>
        <w:t>依据标准</w:t>
      </w:r>
    </w:p>
    <w:p w14:paraId="43EB3EA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7701.2-2008 《煤质颗粒活性炭 净化水用煤质颗粒活性炭》</w:t>
      </w:r>
    </w:p>
    <w:p w14:paraId="4B55C16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13803.2-1999 《木质净水用活性炭》</w:t>
      </w:r>
    </w:p>
    <w:p w14:paraId="6B7C6DE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LY/T 3012-2018 《室内空气净化用活性炭》</w:t>
      </w:r>
    </w:p>
    <w:p w14:paraId="3DE726F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现行有效的企业标准、团体标准、地方标准及产品明示质量要求</w:t>
      </w:r>
    </w:p>
    <w:p w14:paraId="0AD629F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Times New Roman" w:hAnsi="Times New Roman" w:eastAsia="方正仿宋_GBK" w:cs="Times New Roman"/>
          <w:b/>
          <w:bCs/>
          <w:kern w:val="0"/>
          <w:sz w:val="28"/>
          <w:szCs w:val="28"/>
          <w:shd w:val="clear" w:color="auto" w:fill="FFFFFF"/>
          <w:lang w:bidi="ar"/>
        </w:rPr>
        <w:t>4.2判定原则</w:t>
      </w:r>
    </w:p>
    <w:p w14:paraId="151AFFD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经检验，检验项目全部合格，判定为被抽查产品所检项目未发现不合格；检验项目中任一项或一项以上不合格，判定为被抽查产品不合格。</w:t>
      </w:r>
    </w:p>
    <w:p w14:paraId="56F3A48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若被检产品明示的质量要求高于本细则中检验项目依据的标准要求时，应按被检产品明示的质量要求判定。</w:t>
      </w:r>
    </w:p>
    <w:p w14:paraId="3918C62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若被检产品明示的质量要求低于本细则中检验项目依据的强制性标准要求时，应按照强制性标准要求判定。</w:t>
      </w:r>
    </w:p>
    <w:p w14:paraId="192EC169">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若被检产品明示的质量要求低于或包含本细则中检验项目依据的推荐性标准要求时，应以被检产品明示的质量要求判定。</w:t>
      </w:r>
    </w:p>
    <w:p w14:paraId="36728A5F">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若被检产品明示的质量要求缺少本细则中检验项目依据的强制性标准要求时，应按照强制性标准要求判定。</w:t>
      </w:r>
    </w:p>
    <w:p w14:paraId="5EA789A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若被检产品明示的质量要求缺少本细则中检验项目依据的推荐性标准要求时，该项目不参与判定。</w:t>
      </w:r>
    </w:p>
    <w:p w14:paraId="189248B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C27B453-90DB-485B-B302-B8DD994D39A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21AC8EC-838E-42B2-8E2C-B57F67B7D679}"/>
  </w:font>
  <w:font w:name="Cambria">
    <w:panose1 w:val="02040503050406030204"/>
    <w:charset w:val="00"/>
    <w:family w:val="roman"/>
    <w:pitch w:val="default"/>
    <w:sig w:usb0="E00006FF" w:usb1="420024FF" w:usb2="02000000" w:usb3="00000000" w:csb0="2000019F" w:csb1="00000000"/>
  </w:font>
  <w:font w:name="方正黑体_GBK">
    <w:altName w:val="Arial Unicode MS"/>
    <w:panose1 w:val="02000000000000000000"/>
    <w:charset w:val="86"/>
    <w:family w:val="auto"/>
    <w:pitch w:val="default"/>
    <w:sig w:usb0="00000000" w:usb1="00000000" w:usb2="00000000" w:usb3="00000000" w:csb0="00040000" w:csb1="00000000"/>
    <w:embedRegular r:id="rId3" w:fontKey="{C56FE717-FE9A-425F-87FB-7313466C8843}"/>
  </w:font>
  <w:font w:name="Arial Unicode MS">
    <w:panose1 w:val="020B0604020202020204"/>
    <w:charset w:val="86"/>
    <w:family w:val="auto"/>
    <w:pitch w:val="default"/>
    <w:sig w:usb0="FFFFFFFF" w:usb1="E9FFFFFF" w:usb2="0000003F" w:usb3="00000000" w:csb0="603F01FF" w:csb1="FFFF0000"/>
  </w:font>
  <w:font w:name="方正仿宋_GBK">
    <w:panose1 w:val="02000000000000000000"/>
    <w:charset w:val="86"/>
    <w:family w:val="auto"/>
    <w:pitch w:val="default"/>
    <w:sig w:usb0="A00002BF" w:usb1="38CF7CFA" w:usb2="00082016" w:usb3="00000000" w:csb0="00040001" w:csb1="00000000"/>
    <w:embedRegular r:id="rId4" w:fontKey="{70928B86-0FD2-4C71-A847-455AB6551002}"/>
  </w:font>
  <w:font w:name="KSOFD0355493">
    <w:panose1 w:val="020B0604020202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089E41B0"/>
    <w:rsid w:val="247E6D63"/>
    <w:rsid w:val="25470D5C"/>
    <w:rsid w:val="35440B01"/>
    <w:rsid w:val="3FD30DCD"/>
    <w:rsid w:val="4830235B"/>
    <w:rsid w:val="4A844DA1"/>
    <w:rsid w:val="5BC2263F"/>
    <w:rsid w:val="66F8738F"/>
    <w:rsid w:val="6F4F4560"/>
    <w:rsid w:val="70913C30"/>
    <w:rsid w:val="77B670FC"/>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638</Words>
  <Characters>872</Characters>
  <Lines>0</Lines>
  <Paragraphs>0</Paragraphs>
  <TotalTime>0</TotalTime>
  <ScaleCrop>false</ScaleCrop>
  <LinksUpToDate>false</LinksUpToDate>
  <CharactersWithSpaces>904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苏州质检院</cp:lastModifiedBy>
  <dcterms:modified xsi:type="dcterms:W3CDTF">2026-06-24T00:28:27Z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eyJoZGlkIjoiZTBmZGU3NDFjOWUzOWI3MjRhYzlkMjU2NmEzODQxMWIiLCJ1c2VySWQiOiI3NTU2Nzk2NTkifQ==</vt:lpwstr>
  </property>
  <property fmtid="{D5CDD505-2E9C-101B-9397-08002B2CF9AE}" pid="4" name="ICV">
    <vt:lpwstr>0531F10DA02E48A7B14C2A88621DE031_12</vt:lpwstr>
  </property>
</Properties>
</file>